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AFTER ACTION REPORT</w:t>
            </w:r>
          </w:p>
        </w:tc>
      </w:tr>
    </w:tbl>
    <w:p/>
    <w:p>
      <w:pPr>
        <w:spacing w:before="160" w:after="80"/>
      </w:pPr>
      <w:r>
        <w:rPr>
          <w:b/>
          <w:color w:val="0D1B2A"/>
          <w:sz w:val="52"/>
        </w:rPr>
        <w:t>Severely damaged pipes</w:t>
      </w:r>
    </w:p>
    <w:p>
      <w:pPr>
        <w:spacing w:after="80"/>
      </w:pPr>
      <w:r>
        <w:rPr>
          <w:color w:val="6C757D"/>
          <w:sz w:val="28"/>
        </w:rPr>
        <w:t>Post-Exercise Analysis and Improvement Report</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0447A"/>
                <w:sz w:val="20"/>
              </w:rPr>
              <w:t>Confidential</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OVERALL RATING: </w:t>
            </w:r>
            <w:r>
              <w:rPr>
                <w:color w:val="1A1A1A"/>
                <w:sz w:val="18"/>
              </w:rPr>
              <w:t>Overall Exercise Rating: 7.5/10  —  Good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EXECUTIVE SUMMARY</w:t>
            </w:r>
          </w:p>
        </w:tc>
      </w:tr>
    </w:tbl>
    <w:p>
      <w:pPr>
        <w:spacing w:after="40"/>
      </w:pPr>
    </w:p>
    <w:p>
      <w:pPr>
        <w:spacing w:after="80"/>
      </w:pPr>
      <w:r>
        <w:rPr>
          <w:color w:val="1A1A1A"/>
          <w:sz w:val="20"/>
        </w:rPr>
        <w:t>The exercise 'Severely Damaged Pipes' was designed to evaluate Barwon Water's response to a critical infrastructure failure caused by severe weather. While the scenario was realistic and relevant, the exercise revealed significant deficiencies in the execution of the Crisis Management Team's activation and communication protocols. The headline finding is the need for improved coordination and response to initial alerts and stakeholder communications.</w:t>
      </w:r>
    </w:p>
    <w:p>
      <w:pPr>
        <w:spacing w:before="200" w:after="40"/>
      </w:pPr>
      <w:r>
        <w:rPr>
          <w:b/>
          <w:color w:val="00447A"/>
          <w:sz w:val="22"/>
        </w:rPr>
        <w:t>Exercise Details</w:t>
      </w: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Severely damaged pipes</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Scenario</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Exercise Date</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AAR Date</w:t>
            </w:r>
          </w:p>
        </w:tc>
        <w:tc>
          <w:tcPr>
            <w:tcW w:type="dxa" w:w="6236"/>
            <w:shd w:val="clear" w:color="auto" w:fill="F0F2F4"/>
          </w:tcPr>
          <w:p>
            <w:pPr>
              <w:jc w:val="left"/>
            </w:pPr>
            <w:r/>
            <w:r>
              <w:rPr>
                <w:b w:val="0"/>
                <w:color w:val="1A1A1A"/>
                <w:sz w:val="20"/>
              </w:rPr>
              <w:t>2026-06-25</w:t>
            </w:r>
          </w:p>
        </w:tc>
      </w:tr>
      <w:tr>
        <w:tc>
          <w:tcPr>
            <w:tcW w:type="dxa" w:w="2835"/>
            <w:shd w:val="clear" w:color="auto" w:fill="D6E4F7"/>
          </w:tcPr>
          <w:p>
            <w:pPr>
              <w:jc w:val="left"/>
            </w:pPr>
            <w:r/>
            <w:r>
              <w:rPr>
                <w:b/>
                <w:color w:val="0D1B2A"/>
                <w:sz w:val="20"/>
              </w:rPr>
              <w:t>Overall Rating</w:t>
            </w:r>
          </w:p>
        </w:tc>
        <w:tc>
          <w:tcPr>
            <w:tcW w:type="dxa" w:w="6236"/>
          </w:tcPr>
          <w:p>
            <w:pPr>
              <w:jc w:val="left"/>
            </w:pPr>
            <w:r/>
            <w:r>
              <w:rPr>
                <w:b w:val="0"/>
                <w:color w:val="1A1A1A"/>
                <w:sz w:val="20"/>
              </w:rPr>
              <w:t>7.5/10</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GOVERNANCE AND PURPOSE</w:t>
            </w:r>
          </w:p>
        </w:tc>
      </w:tr>
    </w:tbl>
    <w:p>
      <w:pPr>
        <w:spacing w:after="40"/>
      </w:pPr>
    </w:p>
    <w:p>
      <w:pPr>
        <w:spacing w:after="80"/>
      </w:pPr>
      <w:r>
        <w:rPr>
          <w:color w:val="1A1A1A"/>
          <w:sz w:val="20"/>
        </w:rPr>
        <w:t>This After Action Report has been produced following completion of the above exercise, conducted as part of the organisation's BCM Validation Programme under ISO 22301:2019 Clause 8.5 and BCI GPG 2018 PP6. The AAR documents exercise findings, identifies improvement actions, and feeds into the BCM Improvement Register and programme continuous improvement cycle.</w:t>
      </w:r>
    </w:p>
    <w:p>
      <w:pPr>
        <w:spacing w:before="200" w:after="40"/>
      </w:pPr>
      <w:r>
        <w:rPr>
          <w:b/>
          <w:color w:val="00447A"/>
          <w:sz w:val="22"/>
        </w:rPr>
        <w:t>Document Distribution</w:t>
      </w:r>
    </w:p>
    <w:tbl>
      <w:tblPr>
        <w:tblStyle w:val="TableGrid"/>
        <w:tblW w:type="auto" w:w="0"/>
        <w:tblLook w:firstColumn="1" w:firstRow="1" w:lastColumn="0" w:lastRow="0" w:noHBand="0" w:noVBand="1" w:val="04A0"/>
      </w:tblPr>
      <w:tblGrid>
        <w:gridCol w:w="3135"/>
        <w:gridCol w:w="3135"/>
        <w:gridCol w:w="3135"/>
      </w:tblGrid>
      <w:tr>
        <w:tc>
          <w:tcPr>
            <w:tcW w:type="dxa" w:w="2835"/>
            <w:shd w:val="clear" w:color="auto" w:fill="0D1B2A"/>
          </w:tcPr>
          <w:p>
            <w:pPr>
              <w:jc w:val="left"/>
            </w:pPr>
            <w:r/>
            <w:r>
              <w:rPr>
                <w:b/>
                <w:color w:val="FFFFFF"/>
                <w:sz w:val="18"/>
              </w:rPr>
              <w:t>Recipient</w:t>
            </w:r>
          </w:p>
        </w:tc>
        <w:tc>
          <w:tcPr>
            <w:tcW w:type="dxa" w:w="2268"/>
            <w:shd w:val="clear" w:color="auto" w:fill="0D1B2A"/>
          </w:tcPr>
          <w:p>
            <w:pPr>
              <w:jc w:val="left"/>
            </w:pPr>
            <w:r/>
            <w:r>
              <w:rPr>
                <w:b/>
                <w:color w:val="FFFFFF"/>
                <w:sz w:val="18"/>
              </w:rPr>
              <w:t>Report Section</w:t>
            </w:r>
          </w:p>
        </w:tc>
        <w:tc>
          <w:tcPr>
            <w:tcW w:type="dxa" w:w="4252"/>
            <w:shd w:val="clear" w:color="auto" w:fill="0D1B2A"/>
          </w:tcPr>
          <w:p>
            <w:pPr>
              <w:jc w:val="left"/>
            </w:pPr>
            <w:r/>
            <w:r>
              <w:rPr>
                <w:b/>
                <w:color w:val="FFFFFF"/>
                <w:sz w:val="18"/>
              </w:rPr>
              <w:t>Purpose</w:t>
            </w:r>
          </w:p>
        </w:tc>
      </w:tr>
      <w:tr>
        <w:tc>
          <w:tcPr>
            <w:tcW w:type="dxa" w:w="2835"/>
          </w:tcPr>
          <w:p>
            <w:pPr>
              <w:jc w:val="left"/>
            </w:pPr>
            <w:r/>
            <w:r>
              <w:rPr>
                <w:b w:val="0"/>
                <w:color w:val="1A1A1A"/>
                <w:sz w:val="18"/>
              </w:rPr>
              <w:t>Crisis Team Members</w:t>
            </w:r>
          </w:p>
        </w:tc>
        <w:tc>
          <w:tcPr>
            <w:tcW w:type="dxa" w:w="2268"/>
          </w:tcPr>
          <w:p>
            <w:pPr>
              <w:jc w:val="left"/>
            </w:pPr>
            <w:r/>
            <w:r>
              <w:rPr>
                <w:b w:val="0"/>
                <w:color w:val="1A1A1A"/>
                <w:sz w:val="18"/>
              </w:rPr>
              <w:t>Full Report</w:t>
            </w:r>
          </w:p>
        </w:tc>
        <w:tc>
          <w:tcPr>
            <w:tcW w:type="dxa" w:w="4252"/>
          </w:tcPr>
          <w:p>
            <w:pPr>
              <w:jc w:val="left"/>
            </w:pPr>
            <w:r/>
            <w:r>
              <w:rPr>
                <w:b w:val="0"/>
                <w:color w:val="1A1A1A"/>
                <w:sz w:val="18"/>
              </w:rPr>
              <w:t>For information and personal action</w:t>
            </w:r>
          </w:p>
        </w:tc>
      </w:tr>
      <w:tr>
        <w:tc>
          <w:tcPr>
            <w:tcW w:type="dxa" w:w="2835"/>
            <w:shd w:val="clear" w:color="auto" w:fill="F0F2F4"/>
          </w:tcPr>
          <w:p>
            <w:pPr>
              <w:jc w:val="left"/>
            </w:pPr>
            <w:r/>
            <w:r>
              <w:rPr>
                <w:b w:val="0"/>
                <w:color w:val="1A1A1A"/>
                <w:sz w:val="18"/>
              </w:rPr>
              <w:t>BCM Programme Owner</w:t>
            </w:r>
          </w:p>
        </w:tc>
        <w:tc>
          <w:tcPr>
            <w:tcW w:type="dxa" w:w="2268"/>
            <w:shd w:val="clear" w:color="auto" w:fill="F0F2F4"/>
          </w:tcPr>
          <w:p>
            <w:pPr>
              <w:jc w:val="left"/>
            </w:pPr>
            <w:r/>
            <w:r>
              <w:rPr>
                <w:b w:val="0"/>
                <w:color w:val="1A1A1A"/>
                <w:sz w:val="18"/>
              </w:rPr>
              <w:t>Full Report</w:t>
            </w:r>
          </w:p>
        </w:tc>
        <w:tc>
          <w:tcPr>
            <w:tcW w:type="dxa" w:w="4252"/>
            <w:shd w:val="clear" w:color="auto" w:fill="F0F2F4"/>
          </w:tcPr>
          <w:p>
            <w:pPr>
              <w:jc w:val="left"/>
            </w:pPr>
            <w:r/>
            <w:r>
              <w:rPr>
                <w:b w:val="0"/>
                <w:color w:val="1A1A1A"/>
                <w:sz w:val="18"/>
              </w:rPr>
              <w:t>Primary action owner — update improvement register</w:t>
            </w:r>
          </w:p>
        </w:tc>
      </w:tr>
      <w:tr>
        <w:tc>
          <w:tcPr>
            <w:tcW w:type="dxa" w:w="2835"/>
          </w:tcPr>
          <w:p>
            <w:pPr>
              <w:jc w:val="left"/>
            </w:pPr>
            <w:r/>
            <w:r>
              <w:rPr>
                <w:b w:val="0"/>
                <w:color w:val="1A1A1A"/>
                <w:sz w:val="18"/>
              </w:rPr>
              <w:t>Risk and Compliance</w:t>
            </w:r>
          </w:p>
        </w:tc>
        <w:tc>
          <w:tcPr>
            <w:tcW w:type="dxa" w:w="2268"/>
          </w:tcPr>
          <w:p>
            <w:pPr>
              <w:jc w:val="left"/>
            </w:pPr>
            <w:r/>
            <w:r>
              <w:rPr>
                <w:b w:val="0"/>
                <w:color w:val="1A1A1A"/>
                <w:sz w:val="18"/>
              </w:rPr>
              <w:t>Full Report</w:t>
            </w:r>
          </w:p>
        </w:tc>
        <w:tc>
          <w:tcPr>
            <w:tcW w:type="dxa" w:w="4252"/>
          </w:tcPr>
          <w:p>
            <w:pPr>
              <w:jc w:val="left"/>
            </w:pPr>
            <w:r/>
            <w:r>
              <w:rPr>
                <w:b w:val="0"/>
                <w:color w:val="1A1A1A"/>
                <w:sz w:val="18"/>
              </w:rPr>
              <w:t>Governance oversight and risk register update</w:t>
            </w:r>
          </w:p>
        </w:tc>
      </w:tr>
      <w:tr>
        <w:tc>
          <w:tcPr>
            <w:tcW w:type="dxa" w:w="2835"/>
            <w:shd w:val="clear" w:color="auto" w:fill="F0F2F4"/>
          </w:tcPr>
          <w:p>
            <w:pPr>
              <w:jc w:val="left"/>
            </w:pPr>
            <w:r/>
            <w:r>
              <w:rPr>
                <w:b w:val="0"/>
                <w:color w:val="1A1A1A"/>
                <w:sz w:val="18"/>
              </w:rPr>
              <w:t>Board / Risk Committee</w:t>
            </w:r>
          </w:p>
        </w:tc>
        <w:tc>
          <w:tcPr>
            <w:tcW w:type="dxa" w:w="2268"/>
            <w:shd w:val="clear" w:color="auto" w:fill="F0F2F4"/>
          </w:tcPr>
          <w:p>
            <w:pPr>
              <w:jc w:val="left"/>
            </w:pPr>
            <w:r/>
            <w:r>
              <w:rPr>
                <w:b w:val="0"/>
                <w:color w:val="1A1A1A"/>
                <w:sz w:val="18"/>
              </w:rPr>
              <w:t>Executive Summary</w:t>
            </w:r>
          </w:p>
        </w:tc>
        <w:tc>
          <w:tcPr>
            <w:tcW w:type="dxa" w:w="4252"/>
            <w:shd w:val="clear" w:color="auto" w:fill="F0F2F4"/>
          </w:tcPr>
          <w:p>
            <w:pPr>
              <w:jc w:val="left"/>
            </w:pPr>
            <w:r/>
            <w:r>
              <w:rPr>
                <w:b w:val="0"/>
                <w:color w:val="1A1A1A"/>
                <w:sz w:val="18"/>
              </w:rPr>
              <w:t>Board awareness and governance oversight</w:t>
            </w:r>
          </w:p>
        </w:tc>
      </w:tr>
      <w:tr>
        <w:tc>
          <w:tcPr>
            <w:tcW w:type="dxa" w:w="2835"/>
          </w:tcPr>
          <w:p>
            <w:pPr>
              <w:jc w:val="left"/>
            </w:pPr>
            <w:r/>
            <w:r>
              <w:rPr>
                <w:b w:val="0"/>
                <w:color w:val="1A1A1A"/>
                <w:sz w:val="18"/>
              </w:rPr>
              <w:t>Exercise Participants</w:t>
            </w:r>
          </w:p>
        </w:tc>
        <w:tc>
          <w:tcPr>
            <w:tcW w:type="dxa" w:w="2268"/>
          </w:tcPr>
          <w:p>
            <w:pPr>
              <w:jc w:val="left"/>
            </w:pPr>
            <w:r/>
            <w:r>
              <w:rPr>
                <w:b w:val="0"/>
                <w:color w:val="1A1A1A"/>
                <w:sz w:val="18"/>
              </w:rPr>
              <w:t>Full Report</w:t>
            </w:r>
          </w:p>
        </w:tc>
        <w:tc>
          <w:tcPr>
            <w:tcW w:type="dxa" w:w="4252"/>
          </w:tcPr>
          <w:p>
            <w:pPr>
              <w:jc w:val="left"/>
            </w:pPr>
            <w:r/>
            <w:r>
              <w:rPr>
                <w:b w:val="0"/>
                <w:color w:val="1A1A1A"/>
                <w:sz w:val="18"/>
              </w:rPr>
              <w:t>For learning and development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CONFIDENTIALITY: </w:t>
            </w:r>
            <w:r>
              <w:rPr>
                <w:color w:val="1A1A1A"/>
                <w:sz w:val="18"/>
              </w:rPr>
              <w:t>This report is CONFIDENTIAL. It must not be shared with external parties, including regulators, without specific legal and executive approval.</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OBJECTIVES ASSESSMENT</w:t>
            </w:r>
          </w:p>
        </w:tc>
      </w:tr>
    </w:tbl>
    <w:p>
      <w:pPr>
        <w:spacing w:after="40"/>
      </w:pPr>
    </w:p>
    <w:p>
      <w:pPr>
        <w:spacing w:after="80"/>
      </w:pPr>
      <w:r>
        <w:rPr>
          <w:color w:val="1A1A1A"/>
          <w:sz w:val="20"/>
        </w:rPr>
        <w:t>Each exercise objective has been assessed against observed participant behaviour and evaluated as Achieved, Partially Achieved, or Not Achieved.</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Detailed objective-level assessments were not captured for this exercise. Future exercises should assign observers against each objective.</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STRENGTHS AND AREAS OF GOOD PRACTICE</w:t>
            </w:r>
          </w:p>
        </w:tc>
      </w:tr>
    </w:tbl>
    <w:p>
      <w:pPr>
        <w:spacing w:after="40"/>
      </w:pPr>
    </w:p>
    <w:p>
      <w:pPr>
        <w:spacing w:after="80"/>
      </w:pPr>
      <w:r>
        <w:rPr>
          <w:color w:val="1A1A1A"/>
          <w:sz w:val="20"/>
        </w:rPr>
        <w:t>The following areas of good practice were observed. These should be acknowledged, maintained, and used as a basis for future exercise design.</w:t>
      </w:r>
    </w:p>
    <w:p>
      <w:pPr>
        <w:pStyle w:val="ListBullet"/>
      </w:pPr>
      <w:r>
        <w:rPr>
          <w:color w:val="146E3A"/>
          <w:sz w:val="20"/>
        </w:rPr>
        <w:t>The exercise scenario was highly relevant to the regional risks Barwon Water faces, providing a realistic context for testing response plans.</w:t>
      </w:r>
    </w:p>
    <w:p>
      <w:pPr>
        <w:pStyle w:val="ListBullet"/>
      </w:pPr>
      <w:r>
        <w:rPr>
          <w:color w:val="146E3A"/>
          <w:sz w:val="20"/>
        </w:rPr>
        <w:t>Initial alert detection at 4:30 AM was timely, showing the central operations system's effectiveness in monitoring and alerting potential issues (Inject 1).</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GAPS AND AREAS FOR IMPROVEMENT</w:t>
            </w:r>
          </w:p>
        </w:tc>
      </w:tr>
    </w:tbl>
    <w:p>
      <w:pPr>
        <w:spacing w:after="40"/>
      </w:pPr>
    </w:p>
    <w:p>
      <w:pPr>
        <w:spacing w:after="80"/>
      </w:pPr>
      <w:r>
        <w:rPr>
          <w:color w:val="1A1A1A"/>
          <w:sz w:val="20"/>
        </w:rPr>
        <w:t>The following gaps and weaknesses were identified. Each finding is described in terms of what was observed, the risk or implication, and its classification (Plan Gap / Training Gap / Resource Gap / Process Gap / Governance Gap).</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w:t>
            </w:r>
          </w:p>
        </w:tc>
        <w:tc>
          <w:tcPr>
            <w:tcW w:type="dxa" w:w="7654"/>
            <w:shd w:val="clear" w:color="auto" w:fill="0D1B2A"/>
          </w:tcPr>
          <w:p>
            <w:pPr>
              <w:jc w:val="left"/>
            </w:pPr>
            <w:r/>
            <w:r>
              <w:rPr>
                <w:b/>
                <w:color w:val="FFFFFF"/>
                <w:sz w:val="18"/>
              </w:rPr>
              <w:t>Gap / Observation</w:t>
            </w:r>
          </w:p>
        </w:tc>
        <w:tc>
          <w:tcPr>
            <w:tcW w:type="dxa" w:w="1247"/>
            <w:shd w:val="clear" w:color="auto" w:fill="0D1B2A"/>
          </w:tcPr>
          <w:p>
            <w:pPr>
              <w:jc w:val="left"/>
            </w:pPr>
            <w:r/>
            <w:r>
              <w:rPr>
                <w:b/>
                <w:color w:val="FFFFFF"/>
                <w:sz w:val="18"/>
              </w:rPr>
              <w:t>Recommendation Ref</w:t>
            </w:r>
          </w:p>
        </w:tc>
      </w:tr>
      <w:tr>
        <w:tc>
          <w:tcPr>
            <w:tcW w:type="dxa" w:w="454"/>
          </w:tcPr>
          <w:p>
            <w:pPr>
              <w:jc w:val="left"/>
            </w:pPr>
            <w:r/>
            <w:r>
              <w:rPr>
                <w:b w:val="0"/>
                <w:color w:val="1A1A1A"/>
                <w:sz w:val="18"/>
              </w:rPr>
              <w:t>1</w:t>
            </w:r>
          </w:p>
        </w:tc>
        <w:tc>
          <w:tcPr>
            <w:tcW w:type="dxa" w:w="7654"/>
          </w:tcPr>
          <w:p>
            <w:pPr>
              <w:jc w:val="left"/>
            </w:pPr>
            <w:r/>
            <w:r>
              <w:rPr>
                <w:b w:val="0"/>
                <w:color w:val="1A1A1A"/>
                <w:sz w:val="18"/>
              </w:rPr>
              <w:t>Lack of a robust initial response framework as evidenced by the delayed CMT activation (Incident Escalation Objective).</w:t>
            </w:r>
          </w:p>
        </w:tc>
        <w:tc>
          <w:tcPr>
            <w:tcW w:type="dxa" w:w="1247"/>
          </w:tcPr>
          <w:p>
            <w:pPr>
              <w:jc w:val="left"/>
            </w:pPr>
            <w:r/>
            <w:r>
              <w:rPr>
                <w:b w:val="0"/>
                <w:color w:val="1A1A1A"/>
                <w:sz w:val="18"/>
              </w:rPr>
              <w:t>Refer to Section 6</w:t>
            </w:r>
          </w:p>
        </w:tc>
      </w:tr>
      <w:tr>
        <w:tc>
          <w:tcPr>
            <w:tcW w:type="dxa" w:w="454"/>
            <w:shd w:val="clear" w:color="auto" w:fill="F0F2F4"/>
          </w:tcPr>
          <w:p>
            <w:pPr>
              <w:jc w:val="left"/>
            </w:pPr>
            <w:r/>
            <w:r>
              <w:rPr>
                <w:b w:val="0"/>
                <w:color w:val="1A1A1A"/>
                <w:sz w:val="18"/>
              </w:rPr>
              <w:t>2</w:t>
            </w:r>
          </w:p>
        </w:tc>
        <w:tc>
          <w:tcPr>
            <w:tcW w:type="dxa" w:w="7654"/>
            <w:shd w:val="clear" w:color="auto" w:fill="F0F2F4"/>
          </w:tcPr>
          <w:p>
            <w:pPr>
              <w:jc w:val="left"/>
            </w:pPr>
            <w:r/>
            <w:r>
              <w:rPr>
                <w:b w:val="0"/>
                <w:color w:val="1A1A1A"/>
                <w:sz w:val="18"/>
              </w:rPr>
              <w:t>Ineffective communication strategies with regulators and public stakeholders (Crisis Communications Objective).</w:t>
            </w:r>
          </w:p>
        </w:tc>
        <w:tc>
          <w:tcPr>
            <w:tcW w:type="dxa" w:w="1247"/>
            <w:shd w:val="clear" w:color="auto" w:fill="F0F2F4"/>
          </w:tcPr>
          <w:p>
            <w:pPr>
              <w:jc w:val="left"/>
            </w:pPr>
            <w:r/>
            <w:r>
              <w:rPr>
                <w:b w:val="0"/>
                <w:color w:val="1A1A1A"/>
                <w:sz w:val="18"/>
              </w:rPr>
              <w:t>Refer to Section 6</w:t>
            </w:r>
          </w:p>
        </w:tc>
      </w:tr>
      <w:tr>
        <w:tc>
          <w:tcPr>
            <w:tcW w:type="dxa" w:w="454"/>
          </w:tcPr>
          <w:p>
            <w:pPr>
              <w:jc w:val="left"/>
            </w:pPr>
            <w:r/>
            <w:r>
              <w:rPr>
                <w:b w:val="0"/>
                <w:color w:val="1A1A1A"/>
                <w:sz w:val="18"/>
              </w:rPr>
              <w:t>3</w:t>
            </w:r>
          </w:p>
        </w:tc>
        <w:tc>
          <w:tcPr>
            <w:tcW w:type="dxa" w:w="7654"/>
          </w:tcPr>
          <w:p>
            <w:pPr>
              <w:jc w:val="left"/>
            </w:pPr>
            <w:r/>
            <w:r>
              <w:rPr>
                <w:b w:val="0"/>
                <w:color w:val="1A1A1A"/>
                <w:sz w:val="18"/>
              </w:rPr>
              <w:t>Ambiguities in decision-making processes and role clarity in the Business Continuity Plan (Decision-Making Objective).</w:t>
            </w:r>
          </w:p>
        </w:tc>
        <w:tc>
          <w:tcPr>
            <w:tcW w:type="dxa" w:w="1247"/>
          </w:tcPr>
          <w:p>
            <w:pPr>
              <w:jc w:val="left"/>
            </w:pPr>
            <w:r/>
            <w:r>
              <w:rPr>
                <w:b w:val="0"/>
                <w:color w:val="1A1A1A"/>
                <w:sz w:val="18"/>
              </w:rPr>
              <w:t>Refer to Section 6</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RECOMMENDATIONS AND IMPROVEMENT ACTIONS</w:t>
            </w:r>
          </w:p>
        </w:tc>
      </w:tr>
    </w:tbl>
    <w:p>
      <w:pPr>
        <w:spacing w:after="40"/>
      </w:pPr>
    </w:p>
    <w:p>
      <w:pPr>
        <w:spacing w:after="80"/>
      </w:pPr>
      <w:r>
        <w:rPr>
          <w:color w:val="1A1A1A"/>
          <w:sz w:val="20"/>
        </w:rPr>
        <w:t>The following recommendations address the gaps identified in Section 5. Each recommendation is classified by urgency and assigned an owner by role. All actions must be logged in the BCM Improvement Register.</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4819"/>
            <w:shd w:val="clear" w:color="auto" w:fill="0D1B2A"/>
          </w:tcPr>
          <w:p>
            <w:pPr>
              <w:jc w:val="left"/>
            </w:pPr>
            <w:r/>
            <w:r>
              <w:rPr>
                <w:b/>
                <w:color w:val="FFFFFF"/>
                <w:sz w:val="18"/>
              </w:rPr>
              <w:t>Recommendation</w:t>
            </w:r>
          </w:p>
        </w:tc>
        <w:tc>
          <w:tcPr>
            <w:tcW w:type="dxa" w:w="1984"/>
            <w:shd w:val="clear" w:color="auto" w:fill="0D1B2A"/>
          </w:tcPr>
          <w:p>
            <w:pPr>
              <w:jc w:val="left"/>
            </w:pPr>
            <w:r/>
            <w:r>
              <w:rPr>
                <w:b/>
                <w:color w:val="FFFFFF"/>
                <w:sz w:val="18"/>
              </w:rPr>
              <w:t>Owner (Role)</w:t>
            </w:r>
          </w:p>
        </w:tc>
        <w:tc>
          <w:tcPr>
            <w:tcW w:type="dxa" w:w="1701"/>
            <w:shd w:val="clear" w:color="auto" w:fill="0D1B2A"/>
          </w:tcPr>
          <w:p>
            <w:pPr>
              <w:jc w:val="left"/>
            </w:pPr>
            <w:r/>
            <w:r>
              <w:rPr>
                <w:b/>
                <w:color w:val="FFFFFF"/>
                <w:sz w:val="18"/>
              </w:rPr>
              <w:t>Classification</w:t>
            </w:r>
          </w:p>
        </w:tc>
        <w:tc>
          <w:tcPr>
            <w:tcW w:type="dxa" w:w="397"/>
            <w:shd w:val="clear" w:color="auto" w:fill="0D1B2A"/>
          </w:tcPr>
          <w:p>
            <w:pPr>
              <w:jc w:val="left"/>
            </w:pPr>
            <w:r/>
            <w:r>
              <w:rPr>
                <w:b/>
                <w:color w:val="FFFFFF"/>
                <w:sz w:val="18"/>
              </w:rPr>
              <w:t>Status</w:t>
            </w:r>
          </w:p>
        </w:tc>
      </w:tr>
      <w:tr>
        <w:tc>
          <w:tcPr>
            <w:tcW w:type="dxa" w:w="454"/>
          </w:tcPr>
          <w:p>
            <w:pPr>
              <w:jc w:val="left"/>
            </w:pPr>
            <w:r/>
            <w:r>
              <w:rPr>
                <w:b w:val="0"/>
                <w:color w:val="1A1A1A"/>
                <w:sz w:val="18"/>
              </w:rPr>
              <w:t>1</w:t>
            </w:r>
          </w:p>
        </w:tc>
        <w:tc>
          <w:tcPr>
            <w:tcW w:type="dxa" w:w="4819"/>
          </w:tcPr>
          <w:p>
            <w:pPr>
              <w:jc w:val="left"/>
            </w:pPr>
            <w:r/>
            <w:r>
              <w:rPr>
                <w:b w:val="0"/>
                <w:color w:val="1A1A1A"/>
                <w:sz w:val="18"/>
              </w:rPr>
              <w:t>Review and streamline the Crisis Management Team activation process to ensure timely response within the 30-minute target.</w:t>
            </w:r>
          </w:p>
        </w:tc>
        <w:tc>
          <w:tcPr>
            <w:tcW w:type="dxa" w:w="1984"/>
          </w:tcPr>
          <w:p>
            <w:pPr>
              <w:jc w:val="left"/>
            </w:pPr>
            <w:r/>
            <w:r>
              <w:rPr>
                <w:b w:val="0"/>
                <w:color w:val="1A1A1A"/>
                <w:sz w:val="18"/>
              </w:rPr>
              <w:t>BCM Programme Owner</w:t>
            </w:r>
          </w:p>
        </w:tc>
        <w:tc>
          <w:tcPr>
            <w:tcW w:type="dxa" w:w="1701"/>
          </w:tcPr>
          <w:p>
            <w:pPr>
              <w:jc w:val="left"/>
            </w:pPr>
            <w:r/>
            <w:r>
              <w:rPr>
                <w:b w:val="0"/>
                <w:color w:val="1A1A1A"/>
                <w:sz w:val="18"/>
              </w:rPr>
              <w:t>Short-term (1–3 months)</w:t>
            </w:r>
          </w:p>
        </w:tc>
        <w:tc>
          <w:tcPr>
            <w:tcW w:type="dxa" w:w="397"/>
          </w:tcPr>
          <w:p>
            <w:pPr>
              <w:jc w:val="left"/>
            </w:pPr>
            <w:r/>
            <w:r>
              <w:rPr>
                <w:b w:val="0"/>
                <w:color w:val="1A1A1A"/>
                <w:sz w:val="18"/>
              </w:rPr>
              <w:t>Open</w:t>
            </w:r>
          </w:p>
        </w:tc>
      </w:tr>
      <w:tr>
        <w:tc>
          <w:tcPr>
            <w:tcW w:type="dxa" w:w="454"/>
            <w:shd w:val="clear" w:color="auto" w:fill="F0F2F4"/>
          </w:tcPr>
          <w:p>
            <w:pPr>
              <w:jc w:val="left"/>
            </w:pPr>
            <w:r/>
            <w:r>
              <w:rPr>
                <w:b w:val="0"/>
                <w:color w:val="1A1A1A"/>
                <w:sz w:val="18"/>
              </w:rPr>
              <w:t>2</w:t>
            </w:r>
          </w:p>
        </w:tc>
        <w:tc>
          <w:tcPr>
            <w:tcW w:type="dxa" w:w="4819"/>
            <w:shd w:val="clear" w:color="auto" w:fill="F0F2F4"/>
          </w:tcPr>
          <w:p>
            <w:pPr>
              <w:jc w:val="left"/>
            </w:pPr>
            <w:r/>
            <w:r>
              <w:rPr>
                <w:b w:val="0"/>
                <w:color w:val="1A1A1A"/>
                <w:sz w:val="18"/>
              </w:rPr>
              <w:t>Enhance training and drills focused on communication protocols, emphasizing timely and consistent messaging to stakeholders and the public.</w:t>
            </w:r>
          </w:p>
        </w:tc>
        <w:tc>
          <w:tcPr>
            <w:tcW w:type="dxa" w:w="1984"/>
            <w:shd w:val="clear" w:color="auto" w:fill="F0F2F4"/>
          </w:tcPr>
          <w:p>
            <w:pPr>
              <w:jc w:val="left"/>
            </w:pPr>
            <w:r/>
            <w:r>
              <w:rPr>
                <w:b w:val="0"/>
                <w:color w:val="1A1A1A"/>
                <w:sz w:val="18"/>
              </w:rPr>
              <w:t>BCM Programme Owner</w:t>
            </w:r>
          </w:p>
        </w:tc>
        <w:tc>
          <w:tcPr>
            <w:tcW w:type="dxa" w:w="1701"/>
            <w:shd w:val="clear" w:color="auto" w:fill="F0F2F4"/>
          </w:tcPr>
          <w:p>
            <w:pPr>
              <w:jc w:val="left"/>
            </w:pPr>
            <w:r/>
            <w:r>
              <w:rPr>
                <w:b w:val="0"/>
                <w:color w:val="1A1A1A"/>
                <w:sz w:val="18"/>
              </w:rPr>
              <w:t>Short-term (1–3 months)</w:t>
            </w:r>
          </w:p>
        </w:tc>
        <w:tc>
          <w:tcPr>
            <w:tcW w:type="dxa" w:w="397"/>
            <w:shd w:val="clear" w:color="auto" w:fill="F0F2F4"/>
          </w:tcPr>
          <w:p>
            <w:pPr>
              <w:jc w:val="left"/>
            </w:pPr>
            <w:r/>
            <w:r>
              <w:rPr>
                <w:b w:val="0"/>
                <w:color w:val="1A1A1A"/>
                <w:sz w:val="18"/>
              </w:rPr>
              <w:t>Open</w:t>
            </w:r>
          </w:p>
        </w:tc>
      </w:tr>
      <w:tr>
        <w:tc>
          <w:tcPr>
            <w:tcW w:type="dxa" w:w="454"/>
          </w:tcPr>
          <w:p>
            <w:pPr>
              <w:jc w:val="left"/>
            </w:pPr>
            <w:r/>
            <w:r>
              <w:rPr>
                <w:b w:val="0"/>
                <w:color w:val="1A1A1A"/>
                <w:sz w:val="18"/>
              </w:rPr>
              <w:t>3</w:t>
            </w:r>
          </w:p>
        </w:tc>
        <w:tc>
          <w:tcPr>
            <w:tcW w:type="dxa" w:w="4819"/>
          </w:tcPr>
          <w:p>
            <w:pPr>
              <w:jc w:val="left"/>
            </w:pPr>
            <w:r/>
            <w:r>
              <w:rPr>
                <w:b w:val="0"/>
                <w:color w:val="1A1A1A"/>
                <w:sz w:val="18"/>
              </w:rPr>
              <w:t>Clarify decision-making authority and role responsibilities in the crisis management plan to improve response efficiency and accountability.</w:t>
            </w:r>
          </w:p>
        </w:tc>
        <w:tc>
          <w:tcPr>
            <w:tcW w:type="dxa" w:w="1984"/>
          </w:tcPr>
          <w:p>
            <w:pPr>
              <w:jc w:val="left"/>
            </w:pPr>
            <w:r/>
            <w:r>
              <w:rPr>
                <w:b w:val="0"/>
                <w:color w:val="1A1A1A"/>
                <w:sz w:val="18"/>
              </w:rPr>
              <w:t>BCM Programme Owner</w:t>
            </w:r>
          </w:p>
        </w:tc>
        <w:tc>
          <w:tcPr>
            <w:tcW w:type="dxa" w:w="1701"/>
          </w:tcPr>
          <w:p>
            <w:pPr>
              <w:jc w:val="left"/>
            </w:pPr>
            <w:r/>
            <w:r>
              <w:rPr>
                <w:b w:val="0"/>
                <w:color w:val="1A1A1A"/>
                <w:sz w:val="18"/>
              </w:rPr>
              <w:t>Short-term (1–3 months)</w:t>
            </w:r>
          </w:p>
        </w:tc>
        <w:tc>
          <w:tcPr>
            <w:tcW w:type="dxa" w:w="397"/>
          </w:tcPr>
          <w:p>
            <w:pPr>
              <w:jc w:val="left"/>
            </w:pPr>
            <w:r/>
            <w:r>
              <w:rPr>
                <w:b w:val="0"/>
                <w:color w:val="1A1A1A"/>
                <w:sz w:val="18"/>
              </w:rPr>
              <w:t>Open</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COMPETENCY RATINGS</w:t>
            </w:r>
          </w:p>
        </w:tc>
      </w:tr>
    </w:tbl>
    <w:p>
      <w:pPr>
        <w:spacing w:after="40"/>
      </w:pPr>
    </w:p>
    <w:p>
      <w:pPr>
        <w:spacing w:after="80"/>
      </w:pPr>
      <w:r>
        <w:rPr>
          <w:color w:val="1A1A1A"/>
          <w:sz w:val="20"/>
        </w:rPr>
        <w:t>Each evaluation competency scored 1–5: 1 = Critical Gap, 3 = Adequate, 5 = Excellent.</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IMPROVEMENT OPPORTUNITY: </w:t>
            </w:r>
            <w:r>
              <w:rPr>
                <w:color w:val="1A1A1A"/>
                <w:sz w:val="18"/>
              </w:rPr>
              <w:t>Competency ratings were not recorded for this exercise. Assign observers against each competency area in future exercises to enable scored assessments.</w:t>
            </w:r>
          </w:p>
        </w:tc>
      </w:tr>
    </w:tbl>
    <w:p>
      <w:pPr>
        <w:spacing w:after="80"/>
      </w:pP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Competency</w:t>
            </w:r>
          </w:p>
        </w:tc>
        <w:tc>
          <w:tcPr>
            <w:tcW w:type="dxa" w:w="1134"/>
            <w:shd w:val="clear" w:color="auto" w:fill="0D1B2A"/>
          </w:tcPr>
          <w:p>
            <w:pPr>
              <w:jc w:val="left"/>
            </w:pPr>
            <w:r/>
            <w:r>
              <w:rPr>
                <w:b/>
                <w:color w:val="FFFFFF"/>
                <w:sz w:val="18"/>
              </w:rPr>
              <w:t>Score (1–5)</w:t>
            </w:r>
          </w:p>
        </w:tc>
        <w:tc>
          <w:tcPr>
            <w:tcW w:type="dxa" w:w="5669"/>
            <w:shd w:val="clear" w:color="auto" w:fill="0D1B2A"/>
          </w:tcPr>
          <w:p>
            <w:pPr>
              <w:jc w:val="left"/>
            </w:pPr>
            <w:r/>
            <w:r>
              <w:rPr>
                <w:b/>
                <w:color w:val="FFFFFF"/>
                <w:sz w:val="18"/>
              </w:rPr>
              <w:t>Narrative</w:t>
            </w:r>
          </w:p>
        </w:tc>
      </w:tr>
      <w:tr>
        <w:tc>
          <w:tcPr>
            <w:tcW w:type="dxa" w:w="2551"/>
          </w:tcPr>
          <w:p>
            <w:pPr>
              <w:jc w:val="left"/>
            </w:pPr>
            <w:r/>
            <w:r>
              <w:rPr>
                <w:b w:val="0"/>
                <w:color w:val="1A1A1A"/>
                <w:sz w:val="18"/>
              </w:rPr>
              <w:t>Crisis Leadership and Decision-Making</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Situational Awareness and Information Management</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Business Continuity Activation (BCP / ROC Plan invocation)</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Internal Communications</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External Communications (Customer / Media / Regulatory)</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Regulatory and Legal Obligations</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Third-Party and Supply Chain Management</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Recovery Planning and Return to Normal</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BCM PROGRAMME LIFECYCLE — IMPROVEMENT POSITIONING</w:t>
            </w:r>
          </w:p>
        </w:tc>
      </w:tr>
    </w:tbl>
    <w:p>
      <w:pPr>
        <w:spacing w:after="40"/>
      </w:pPr>
    </w:p>
    <w:p>
      <w:pPr>
        <w:spacing w:after="80"/>
      </w:pPr>
      <w:r>
        <w:rPr>
          <w:color w:val="1A1A1A"/>
          <w:sz w:val="20"/>
        </w:rPr>
        <w:t>Map the findings from this exercise against the BCM programme lifecycle (ISO 22301 / BCI GPG 2018 PP1–PP6) to identify the phase where improvement is most needed.</w:t>
      </w:r>
    </w:p>
    <w:tbl>
      <w:tblPr>
        <w:tblStyle w:val="TableGrid"/>
        <w:tblW w:type="auto" w:w="0"/>
        <w:tblLook w:firstColumn="1" w:firstRow="1" w:lastColumn="0" w:lastRow="0" w:noHBand="0" w:noVBand="1" w:val="04A0"/>
      </w:tblPr>
      <w:tblGrid>
        <w:gridCol w:w="4703"/>
        <w:gridCol w:w="4703"/>
      </w:tblGrid>
      <w:tr>
        <w:tc>
          <w:tcPr>
            <w:tcW w:type="dxa" w:w="3118"/>
            <w:shd w:val="clear" w:color="auto" w:fill="0D1B2A"/>
          </w:tcPr>
          <w:p>
            <w:pPr>
              <w:jc w:val="left"/>
            </w:pPr>
            <w:r/>
            <w:r>
              <w:rPr>
                <w:b/>
                <w:color w:val="FFFFFF"/>
                <w:sz w:val="18"/>
              </w:rPr>
              <w:t>Lifecycle Phase</w:t>
            </w:r>
          </w:p>
        </w:tc>
        <w:tc>
          <w:tcPr>
            <w:tcW w:type="dxa" w:w="6236"/>
            <w:shd w:val="clear" w:color="auto" w:fill="0D1B2A"/>
          </w:tcPr>
          <w:p>
            <w:pPr>
              <w:jc w:val="left"/>
            </w:pPr>
            <w:r/>
            <w:r>
              <w:rPr>
                <w:b/>
                <w:color w:val="FFFFFF"/>
                <w:sz w:val="18"/>
              </w:rPr>
              <w:t>Description</w:t>
            </w:r>
          </w:p>
        </w:tc>
      </w:tr>
      <w:tr>
        <w:tc>
          <w:tcPr>
            <w:tcW w:type="dxa" w:w="3118"/>
          </w:tcPr>
          <w:p>
            <w:pPr>
              <w:jc w:val="left"/>
            </w:pPr>
            <w:r/>
            <w:r>
              <w:rPr>
                <w:b w:val="0"/>
                <w:color w:val="1A1A1A"/>
                <w:sz w:val="18"/>
              </w:rPr>
              <w:t>PP1 — Programme Management</w:t>
            </w:r>
          </w:p>
        </w:tc>
        <w:tc>
          <w:tcPr>
            <w:tcW w:type="dxa" w:w="6236"/>
          </w:tcPr>
          <w:p>
            <w:pPr>
              <w:jc w:val="left"/>
            </w:pPr>
            <w:r/>
            <w:r>
              <w:rPr>
                <w:b w:val="0"/>
                <w:color w:val="1A1A1A"/>
                <w:sz w:val="18"/>
              </w:rPr>
              <w:t>Policy, governance, roles, and resources</w:t>
            </w:r>
          </w:p>
        </w:tc>
      </w:tr>
      <w:tr>
        <w:tc>
          <w:tcPr>
            <w:tcW w:type="dxa" w:w="3118"/>
            <w:shd w:val="clear" w:color="auto" w:fill="F0F2F4"/>
          </w:tcPr>
          <w:p>
            <w:pPr>
              <w:jc w:val="left"/>
            </w:pPr>
            <w:r/>
            <w:r>
              <w:rPr>
                <w:b w:val="0"/>
                <w:color w:val="1A1A1A"/>
                <w:sz w:val="18"/>
              </w:rPr>
              <w:t>PP2 — Embedding</w:t>
            </w:r>
          </w:p>
        </w:tc>
        <w:tc>
          <w:tcPr>
            <w:tcW w:type="dxa" w:w="6236"/>
            <w:shd w:val="clear" w:color="auto" w:fill="F0F2F4"/>
          </w:tcPr>
          <w:p>
            <w:pPr>
              <w:jc w:val="left"/>
            </w:pPr>
            <w:r/>
            <w:r>
              <w:rPr>
                <w:b w:val="0"/>
                <w:color w:val="1A1A1A"/>
                <w:sz w:val="18"/>
              </w:rPr>
              <w:t>Culture, training, awareness, continuous improvement</w:t>
            </w:r>
          </w:p>
        </w:tc>
      </w:tr>
      <w:tr>
        <w:tc>
          <w:tcPr>
            <w:tcW w:type="dxa" w:w="3118"/>
          </w:tcPr>
          <w:p>
            <w:pPr>
              <w:jc w:val="left"/>
            </w:pPr>
            <w:r/>
            <w:r>
              <w:rPr>
                <w:b w:val="0"/>
                <w:color w:val="1A1A1A"/>
                <w:sz w:val="18"/>
              </w:rPr>
              <w:t>PP3 — Analysis (BIA)</w:t>
            </w:r>
          </w:p>
        </w:tc>
        <w:tc>
          <w:tcPr>
            <w:tcW w:type="dxa" w:w="6236"/>
          </w:tcPr>
          <w:p>
            <w:pPr>
              <w:jc w:val="left"/>
            </w:pPr>
            <w:r/>
            <w:r>
              <w:rPr>
                <w:b w:val="0"/>
                <w:color w:val="1A1A1A"/>
                <w:sz w:val="18"/>
              </w:rPr>
              <w:t>BIA, CBF prioritisation, recovery objectives, risk assessment</w:t>
            </w:r>
          </w:p>
        </w:tc>
      </w:tr>
      <w:tr>
        <w:tc>
          <w:tcPr>
            <w:tcW w:type="dxa" w:w="3118"/>
            <w:shd w:val="clear" w:color="auto" w:fill="F0F2F4"/>
          </w:tcPr>
          <w:p>
            <w:pPr>
              <w:jc w:val="left"/>
            </w:pPr>
            <w:r/>
            <w:r>
              <w:rPr>
                <w:b w:val="0"/>
                <w:color w:val="1A1A1A"/>
                <w:sz w:val="18"/>
              </w:rPr>
              <w:t>PP4 — Design</w:t>
            </w:r>
          </w:p>
        </w:tc>
        <w:tc>
          <w:tcPr>
            <w:tcW w:type="dxa" w:w="6236"/>
            <w:shd w:val="clear" w:color="auto" w:fill="F0F2F4"/>
          </w:tcPr>
          <w:p>
            <w:pPr>
              <w:jc w:val="left"/>
            </w:pPr>
            <w:r/>
            <w:r>
              <w:rPr>
                <w:b w:val="0"/>
                <w:color w:val="1A1A1A"/>
                <w:sz w:val="18"/>
              </w:rPr>
              <w:t>Continuity strategies, workarounds, DR architecture</w:t>
            </w:r>
          </w:p>
        </w:tc>
      </w:tr>
      <w:tr>
        <w:tc>
          <w:tcPr>
            <w:tcW w:type="dxa" w:w="3118"/>
          </w:tcPr>
          <w:p>
            <w:pPr>
              <w:jc w:val="left"/>
            </w:pPr>
            <w:r/>
            <w:r>
              <w:rPr>
                <w:b w:val="0"/>
                <w:color w:val="1A1A1A"/>
                <w:sz w:val="18"/>
              </w:rPr>
              <w:t>PP5 — Implementation (Plans)</w:t>
            </w:r>
          </w:p>
        </w:tc>
        <w:tc>
          <w:tcPr>
            <w:tcW w:type="dxa" w:w="6236"/>
          </w:tcPr>
          <w:p>
            <w:pPr>
              <w:jc w:val="left"/>
            </w:pPr>
            <w:r/>
            <w:r>
              <w:rPr>
                <w:b w:val="0"/>
                <w:color w:val="1A1A1A"/>
                <w:sz w:val="18"/>
              </w:rPr>
              <w:t>BCPs, ROC Plans, Strategic BCP, Crisis Communications Plan</w:t>
            </w:r>
          </w:p>
        </w:tc>
      </w:tr>
      <w:tr>
        <w:tc>
          <w:tcPr>
            <w:tcW w:type="dxa" w:w="3118"/>
            <w:shd w:val="clear" w:color="auto" w:fill="F0F2F4"/>
          </w:tcPr>
          <w:p>
            <w:pPr>
              <w:jc w:val="left"/>
            </w:pPr>
            <w:r/>
            <w:r>
              <w:rPr>
                <w:b w:val="0"/>
                <w:color w:val="1A1A1A"/>
                <w:sz w:val="18"/>
              </w:rPr>
              <w:t>PP6 — Validation</w:t>
            </w:r>
          </w:p>
        </w:tc>
        <w:tc>
          <w:tcPr>
            <w:tcW w:type="dxa" w:w="6236"/>
            <w:shd w:val="clear" w:color="auto" w:fill="F0F2F4"/>
          </w:tcPr>
          <w:p>
            <w:pPr>
              <w:jc w:val="left"/>
            </w:pPr>
            <w:r/>
            <w:r>
              <w:rPr>
                <w:b w:val="0"/>
                <w:color w:val="1A1A1A"/>
                <w:sz w:val="18"/>
              </w:rPr>
              <w:t>Exercises, tests, reviews, and post-exercise improvement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3135"/>
        <w:gridCol w:w="3135"/>
        <w:gridCol w:w="3135"/>
      </w:tblGrid>
      <w:tr>
        <w:tc>
          <w:tcPr>
            <w:tcW w:type="dxa" w:w="2835"/>
            <w:shd w:val="clear" w:color="auto" w:fill="0D1B2A"/>
          </w:tcPr>
          <w:p>
            <w:pPr>
              <w:jc w:val="left"/>
            </w:pPr>
            <w:r/>
            <w:r>
              <w:rPr>
                <w:b/>
                <w:color w:val="FFFFFF"/>
                <w:sz w:val="18"/>
              </w:rPr>
              <w:t>Document / Register</w:t>
            </w:r>
          </w:p>
        </w:tc>
        <w:tc>
          <w:tcPr>
            <w:tcW w:type="dxa" w:w="2835"/>
            <w:shd w:val="clear" w:color="auto" w:fill="0D1B2A"/>
          </w:tcPr>
          <w:p>
            <w:pPr>
              <w:jc w:val="left"/>
            </w:pPr>
            <w:r/>
            <w:r>
              <w:rPr>
                <w:b/>
                <w:color w:val="FFFFFF"/>
                <w:sz w:val="18"/>
              </w:rPr>
              <w:t>Relationship</w:t>
            </w:r>
          </w:p>
        </w:tc>
        <w:tc>
          <w:tcPr>
            <w:tcW w:type="dxa" w:w="3685"/>
            <w:shd w:val="clear" w:color="auto" w:fill="0D1B2A"/>
          </w:tcPr>
          <w:p>
            <w:pPr>
              <w:jc w:val="left"/>
            </w:pPr>
            <w:r/>
            <w:r>
              <w:rPr>
                <w:b/>
                <w:color w:val="FFFFFF"/>
                <w:sz w:val="18"/>
              </w:rPr>
              <w:t>Action Required</w:t>
            </w:r>
          </w:p>
        </w:tc>
      </w:tr>
      <w:tr>
        <w:tc>
          <w:tcPr>
            <w:tcW w:type="dxa" w:w="2835"/>
          </w:tcPr>
          <w:p>
            <w:pPr>
              <w:jc w:val="left"/>
            </w:pPr>
            <w:r/>
            <w:r>
              <w:rPr>
                <w:b w:val="0"/>
                <w:color w:val="1A1A1A"/>
                <w:sz w:val="18"/>
              </w:rPr>
              <w:t>BCM Improvement Register</w:t>
            </w:r>
          </w:p>
        </w:tc>
        <w:tc>
          <w:tcPr>
            <w:tcW w:type="dxa" w:w="2835"/>
          </w:tcPr>
          <w:p>
            <w:pPr>
              <w:jc w:val="left"/>
            </w:pPr>
            <w:r/>
            <w:r>
              <w:rPr>
                <w:b w:val="0"/>
                <w:color w:val="1A1A1A"/>
                <w:sz w:val="18"/>
              </w:rPr>
              <w:t>Receives all actions from this AAR</w:t>
            </w:r>
          </w:p>
        </w:tc>
        <w:tc>
          <w:tcPr>
            <w:tcW w:type="dxa" w:w="3685"/>
          </w:tcPr>
          <w:p>
            <w:pPr>
              <w:jc w:val="left"/>
            </w:pPr>
            <w:r/>
            <w:r>
              <w:rPr>
                <w:b w:val="0"/>
                <w:color w:val="1A1A1A"/>
                <w:sz w:val="18"/>
              </w:rPr>
              <w:t>BCM Programme Owner — update within 10 days</w:t>
            </w:r>
          </w:p>
        </w:tc>
      </w:tr>
      <w:tr>
        <w:tc>
          <w:tcPr>
            <w:tcW w:type="dxa" w:w="2835"/>
            <w:shd w:val="clear" w:color="auto" w:fill="F0F2F4"/>
          </w:tcPr>
          <w:p>
            <w:pPr>
              <w:jc w:val="left"/>
            </w:pPr>
            <w:r/>
            <w:r>
              <w:rPr>
                <w:b w:val="0"/>
                <w:color w:val="1A1A1A"/>
                <w:sz w:val="18"/>
              </w:rPr>
              <w:t>BCM Risk Register</w:t>
            </w:r>
          </w:p>
        </w:tc>
        <w:tc>
          <w:tcPr>
            <w:tcW w:type="dxa" w:w="2835"/>
            <w:shd w:val="clear" w:color="auto" w:fill="F0F2F4"/>
          </w:tcPr>
          <w:p>
            <w:pPr>
              <w:jc w:val="left"/>
            </w:pPr>
            <w:r/>
            <w:r>
              <w:rPr>
                <w:b w:val="0"/>
                <w:color w:val="1A1A1A"/>
                <w:sz w:val="18"/>
              </w:rPr>
              <w:t>Any new risks identified in this exercise</w:t>
            </w:r>
          </w:p>
        </w:tc>
        <w:tc>
          <w:tcPr>
            <w:tcW w:type="dxa" w:w="3685"/>
            <w:shd w:val="clear" w:color="auto" w:fill="F0F2F4"/>
          </w:tcPr>
          <w:p>
            <w:pPr>
              <w:jc w:val="left"/>
            </w:pPr>
            <w:r/>
            <w:r>
              <w:rPr>
                <w:b w:val="0"/>
                <w:color w:val="1A1A1A"/>
                <w:sz w:val="18"/>
              </w:rPr>
              <w:t>Risk Owner — review within 30 days</w:t>
            </w:r>
          </w:p>
        </w:tc>
      </w:tr>
      <w:tr>
        <w:tc>
          <w:tcPr>
            <w:tcW w:type="dxa" w:w="2835"/>
          </w:tcPr>
          <w:p>
            <w:pPr>
              <w:jc w:val="left"/>
            </w:pPr>
            <w:r/>
            <w:r>
              <w:rPr>
                <w:b w:val="0"/>
                <w:color w:val="1A1A1A"/>
                <w:sz w:val="18"/>
              </w:rPr>
              <w:t>ISO 22301:2019 Internal Audit</w:t>
            </w:r>
          </w:p>
        </w:tc>
        <w:tc>
          <w:tcPr>
            <w:tcW w:type="dxa" w:w="2835"/>
          </w:tcPr>
          <w:p>
            <w:pPr>
              <w:jc w:val="left"/>
            </w:pPr>
            <w:r/>
            <w:r>
              <w:rPr>
                <w:b w:val="0"/>
                <w:color w:val="1A1A1A"/>
                <w:sz w:val="18"/>
              </w:rPr>
              <w:t>AAR findings inform next audit scope</w:t>
            </w:r>
          </w:p>
        </w:tc>
        <w:tc>
          <w:tcPr>
            <w:tcW w:type="dxa" w:w="3685"/>
          </w:tcPr>
          <w:p>
            <w:pPr>
              <w:jc w:val="left"/>
            </w:pPr>
            <w:r/>
            <w:r>
              <w:rPr>
                <w:b w:val="0"/>
                <w:color w:val="1A1A1A"/>
                <w:sz w:val="18"/>
              </w:rPr>
              <w:t>Internal Audit / BCM Owner</w:t>
            </w:r>
          </w:p>
        </w:tc>
      </w:tr>
      <w:tr>
        <w:tc>
          <w:tcPr>
            <w:tcW w:type="dxa" w:w="2835"/>
            <w:shd w:val="clear" w:color="auto" w:fill="F0F2F4"/>
          </w:tcPr>
          <w:p>
            <w:pPr>
              <w:jc w:val="left"/>
            </w:pPr>
            <w:r/>
            <w:r>
              <w:rPr>
                <w:b w:val="0"/>
                <w:color w:val="1A1A1A"/>
                <w:sz w:val="18"/>
              </w:rPr>
              <w:t>Next Exercise — Design Brief</w:t>
            </w:r>
          </w:p>
        </w:tc>
        <w:tc>
          <w:tcPr>
            <w:tcW w:type="dxa" w:w="2835"/>
            <w:shd w:val="clear" w:color="auto" w:fill="F0F2F4"/>
          </w:tcPr>
          <w:p>
            <w:pPr>
              <w:jc w:val="left"/>
            </w:pPr>
            <w:r/>
            <w:r>
              <w:rPr>
                <w:b w:val="0"/>
                <w:color w:val="1A1A1A"/>
                <w:sz w:val="18"/>
              </w:rPr>
              <w:t>Lessons from this exercise shape next scenario</w:t>
            </w:r>
          </w:p>
        </w:tc>
        <w:tc>
          <w:tcPr>
            <w:tcW w:type="dxa" w:w="3685"/>
            <w:shd w:val="clear" w:color="auto" w:fill="F0F2F4"/>
          </w:tcPr>
          <w:p>
            <w:pPr>
              <w:jc w:val="left"/>
            </w:pPr>
            <w:r/>
            <w:r>
              <w:rPr>
                <w:b w:val="0"/>
                <w:color w:val="1A1A1A"/>
                <w:sz w:val="18"/>
              </w:rPr>
              <w:t>BCM Programme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POST-AAR PROCESS AND TIMELINES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1701"/>
            <w:shd w:val="clear" w:color="auto" w:fill="0D1B2A"/>
          </w:tcPr>
          <w:p>
            <w:pPr>
              <w:jc w:val="left"/>
            </w:pPr>
            <w:r/>
            <w:r>
              <w:rPr>
                <w:b/>
                <w:color w:val="FFFFFF"/>
                <w:sz w:val="18"/>
              </w:rPr>
              <w:t>Timeframe</w:t>
            </w:r>
          </w:p>
        </w:tc>
        <w:tc>
          <w:tcPr>
            <w:tcW w:type="dxa" w:w="7654"/>
            <w:shd w:val="clear" w:color="auto" w:fill="0D1B2A"/>
          </w:tcPr>
          <w:p>
            <w:pPr>
              <w:jc w:val="left"/>
            </w:pPr>
            <w:r/>
            <w:r>
              <w:rPr>
                <w:b/>
                <w:color w:val="FFFFFF"/>
                <w:sz w:val="18"/>
              </w:rPr>
              <w:t>Action</w:t>
            </w:r>
          </w:p>
        </w:tc>
      </w:tr>
      <w:tr>
        <w:tc>
          <w:tcPr>
            <w:tcW w:type="dxa" w:w="1701"/>
          </w:tcPr>
          <w:p>
            <w:pPr>
              <w:jc w:val="left"/>
            </w:pPr>
            <w:r/>
            <w:r>
              <w:rPr>
                <w:b w:val="0"/>
                <w:color w:val="1A1A1A"/>
                <w:sz w:val="18"/>
              </w:rPr>
              <w:t>0–48 hours</w:t>
            </w:r>
          </w:p>
        </w:tc>
        <w:tc>
          <w:tcPr>
            <w:tcW w:type="dxa" w:w="7654"/>
          </w:tcPr>
          <w:p>
            <w:pPr>
              <w:jc w:val="left"/>
            </w:pPr>
            <w:r/>
            <w:r>
              <w:rPr>
                <w:b w:val="0"/>
                <w:color w:val="1A1A1A"/>
                <w:sz w:val="18"/>
              </w:rPr>
              <w:t>Hot debrief notes distributed to crisis team and observers</w:t>
            </w:r>
          </w:p>
        </w:tc>
      </w:tr>
      <w:tr>
        <w:tc>
          <w:tcPr>
            <w:tcW w:type="dxa" w:w="1701"/>
            <w:shd w:val="clear" w:color="auto" w:fill="F0F2F4"/>
          </w:tcPr>
          <w:p>
            <w:pPr>
              <w:jc w:val="left"/>
            </w:pPr>
            <w:r/>
            <w:r>
              <w:rPr>
                <w:b w:val="0"/>
                <w:color w:val="1A1A1A"/>
                <w:sz w:val="18"/>
              </w:rPr>
              <w:t>2–5 days</w:t>
            </w:r>
          </w:p>
        </w:tc>
        <w:tc>
          <w:tcPr>
            <w:tcW w:type="dxa" w:w="7654"/>
            <w:shd w:val="clear" w:color="auto" w:fill="F0F2F4"/>
          </w:tcPr>
          <w:p>
            <w:pPr>
              <w:jc w:val="left"/>
            </w:pPr>
            <w:r/>
            <w:r>
              <w:rPr>
                <w:b w:val="0"/>
                <w:color w:val="1A1A1A"/>
                <w:sz w:val="18"/>
              </w:rPr>
              <w:t>Draft AAR circulated to facilitator and observer team for accuracy check</w:t>
            </w:r>
          </w:p>
        </w:tc>
      </w:tr>
      <w:tr>
        <w:tc>
          <w:tcPr>
            <w:tcW w:type="dxa" w:w="1701"/>
          </w:tcPr>
          <w:p>
            <w:pPr>
              <w:jc w:val="left"/>
            </w:pPr>
            <w:r/>
            <w:r>
              <w:rPr>
                <w:b w:val="0"/>
                <w:color w:val="1A1A1A"/>
                <w:sz w:val="18"/>
              </w:rPr>
              <w:t>5–10 days</w:t>
            </w:r>
          </w:p>
        </w:tc>
        <w:tc>
          <w:tcPr>
            <w:tcW w:type="dxa" w:w="7654"/>
          </w:tcPr>
          <w:p>
            <w:pPr>
              <w:jc w:val="left"/>
            </w:pPr>
            <w:r/>
            <w:r>
              <w:rPr>
                <w:b w:val="0"/>
                <w:color w:val="1A1A1A"/>
                <w:sz w:val="18"/>
              </w:rPr>
              <w:t>Final AAR distributed to recipients per distribution list</w:t>
            </w:r>
          </w:p>
        </w:tc>
      </w:tr>
      <w:tr>
        <w:tc>
          <w:tcPr>
            <w:tcW w:type="dxa" w:w="1701"/>
            <w:shd w:val="clear" w:color="auto" w:fill="F0F2F4"/>
          </w:tcPr>
          <w:p>
            <w:pPr>
              <w:jc w:val="left"/>
            </w:pPr>
            <w:r/>
            <w:r>
              <w:rPr>
                <w:b w:val="0"/>
                <w:color w:val="1A1A1A"/>
                <w:sz w:val="18"/>
              </w:rPr>
              <w:t>10–15 days</w:t>
            </w:r>
          </w:p>
        </w:tc>
        <w:tc>
          <w:tcPr>
            <w:tcW w:type="dxa" w:w="7654"/>
            <w:shd w:val="clear" w:color="auto" w:fill="F0F2F4"/>
          </w:tcPr>
          <w:p>
            <w:pPr>
              <w:jc w:val="left"/>
            </w:pPr>
            <w:r/>
            <w:r>
              <w:rPr>
                <w:b w:val="0"/>
                <w:color w:val="1A1A1A"/>
                <w:sz w:val="18"/>
              </w:rPr>
              <w:t>Action owners briefed individually; improvement register updated</w:t>
            </w:r>
          </w:p>
        </w:tc>
      </w:tr>
      <w:tr>
        <w:tc>
          <w:tcPr>
            <w:tcW w:type="dxa" w:w="1701"/>
          </w:tcPr>
          <w:p>
            <w:pPr>
              <w:jc w:val="left"/>
            </w:pPr>
            <w:r/>
            <w:r>
              <w:rPr>
                <w:b w:val="0"/>
                <w:color w:val="1A1A1A"/>
                <w:sz w:val="18"/>
              </w:rPr>
              <w:t>30 days</w:t>
            </w:r>
          </w:p>
        </w:tc>
        <w:tc>
          <w:tcPr>
            <w:tcW w:type="dxa" w:w="7654"/>
          </w:tcPr>
          <w:p>
            <w:pPr>
              <w:jc w:val="left"/>
            </w:pPr>
            <w:r/>
            <w:r>
              <w:rPr>
                <w:b w:val="0"/>
                <w:color w:val="1A1A1A"/>
                <w:sz w:val="18"/>
              </w:rPr>
              <w:t>First progress check on Immediate-classification actions</w:t>
            </w:r>
          </w:p>
        </w:tc>
      </w:tr>
      <w:tr>
        <w:tc>
          <w:tcPr>
            <w:tcW w:type="dxa" w:w="1701"/>
            <w:shd w:val="clear" w:color="auto" w:fill="F0F2F4"/>
          </w:tcPr>
          <w:p>
            <w:pPr>
              <w:jc w:val="left"/>
            </w:pPr>
            <w:r/>
            <w:r>
              <w:rPr>
                <w:b w:val="0"/>
                <w:color w:val="1A1A1A"/>
                <w:sz w:val="18"/>
              </w:rPr>
              <w:t>Quarterly</w:t>
            </w:r>
          </w:p>
        </w:tc>
        <w:tc>
          <w:tcPr>
            <w:tcW w:type="dxa" w:w="7654"/>
            <w:shd w:val="clear" w:color="auto" w:fill="F0F2F4"/>
          </w:tcPr>
          <w:p>
            <w:pPr>
              <w:jc w:val="left"/>
            </w:pPr>
            <w:r/>
            <w:r>
              <w:rPr>
                <w:b w:val="0"/>
                <w:color w:val="1A1A1A"/>
                <w:sz w:val="18"/>
              </w:rPr>
              <w:t>Overdue actions escalated to BCM Steering Committee</w:t>
            </w:r>
          </w:p>
        </w:tc>
      </w:tr>
      <w:tr>
        <w:tc>
          <w:tcPr>
            <w:tcW w:type="dxa" w:w="1701"/>
          </w:tcPr>
          <w:p>
            <w:pPr>
              <w:jc w:val="left"/>
            </w:pPr>
            <w:r/>
            <w:r>
              <w:rPr>
                <w:b w:val="0"/>
                <w:color w:val="1A1A1A"/>
                <w:sz w:val="18"/>
              </w:rPr>
              <w:t>Next cycle</w:t>
            </w:r>
          </w:p>
        </w:tc>
        <w:tc>
          <w:tcPr>
            <w:tcW w:type="dxa" w:w="7654"/>
          </w:tcPr>
          <w:p>
            <w:pPr>
              <w:jc w:val="left"/>
            </w:pPr>
            <w:r/>
            <w:r>
              <w:rPr>
                <w:b w:val="0"/>
                <w:color w:val="1A1A1A"/>
                <w:sz w:val="18"/>
              </w:rPr>
              <w:t>Lessons from this AAR inform next exercise scenario design and objectives</w:t>
            </w:r>
          </w:p>
        </w:tc>
      </w:tr>
    </w:tbl>
    <w:p>
      <w:pPr>
        <w:spacing w:after="80"/>
      </w:pPr>
    </w:p>
    <w:p>
      <w:pPr>
        <w:spacing w:before="240" w:after="80"/>
        <w:pBdr>
          <w:bottom w:val="single" w:sz="6" w:space="1" w:color="0D1B2A"/>
        </w:pBdr>
      </w:pPr>
    </w:p>
    <w:p>
      <w:pPr>
        <w:jc w:val="center"/>
      </w:pPr>
      <w:r>
        <w:rPr>
          <w:color w:val="6C757D"/>
          <w:sz w:val="16"/>
        </w:rPr>
        <w:t>Confidential  ·  Distribution: As per Section 2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AAR — Severely damaged pipes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