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D1117"/>
          <w:sz w:val="44"/>
        </w:rPr>
        <w:t>Billing – Business Continuity Plan</w:t>
      </w:r>
    </w:p>
    <w:p>
      <w:pPr>
        <w:jc w:val="center"/>
      </w:pPr>
      <w:r>
        <w:rPr>
          <w:sz w:val="24"/>
        </w:rPr>
        <w:t>Business Continuity Plan  |  Barwon Water</w:t>
      </w:r>
    </w:p>
    <w:p>
      <w:pPr>
        <w:jc w:val="center"/>
      </w:pPr>
      <w:r>
        <w:rPr>
          <w:color w:val="6C757D"/>
          <w:sz w:val="20"/>
        </w:rPr>
        <w:t>Version 1.0  |  Status: DRAFT</w:t>
      </w:r>
    </w:p>
    <w:p>
      <w:pPr>
        <w:jc w:val="center"/>
      </w:pPr>
      <w:r>
        <w:rPr>
          <w:sz w:val="20"/>
        </w:rPr>
        <w:t>Critical Operation: Billing</w:t>
      </w:r>
    </w:p>
    <w:p>
      <w:pPr>
        <w:spacing w:before="80" w:after="80"/>
        <w:pBdr>
          <w:bottom w:val="single" w:sz="4" w:space="1" w:color="CCCCCC"/>
        </w:pBdr>
      </w:pPr>
    </w:p>
    <w:p>
      <w:pPr>
        <w:pStyle w:val="Heading1"/>
      </w:pPr>
      <w:r>
        <w:t>Purpose &amp; Scope</w:t>
      </w:r>
    </w:p>
    <w:p>
      <w:r>
        <w:t>The 'Billing – Business Continuity Plan' ensures the resilience of Your Organisation's billing operations, critical for maintaining cash flow and compliance with financial regulations. This comprehensive plan addresses all potential disruption types, safeguarding the generation, processing, and management of customer invoices and payments. The plan is structured to provide a tiered response, adaptable to IT outages, facility losses, staff absences, supplier failures, cyber attacks, and other disruptions.</w:t>
      </w:r>
    </w:p>
    <w:p>
      <w:pPr>
        <w:spacing w:before="80" w:after="80"/>
        <w:pBdr>
          <w:bottom w:val="single" w:sz="4" w:space="1" w:color="CCCCCC"/>
        </w:pBdr>
      </w:pPr>
    </w:p>
    <w:p>
      <w:pPr>
        <w:pStyle w:val="Heading1"/>
      </w:pPr>
      <w:r>
        <w:t>Invocation Criteria</w:t>
      </w:r>
    </w:p>
    <w:p>
      <w:r>
        <w:t>This plan is invoked when any of the following conditions are met:</w:t>
      </w:r>
    </w:p>
    <w:p>
      <w:pPr>
        <w:pStyle w:val="ListBullet"/>
      </w:pPr>
      <w:r>
        <w:t>Activation of this plan is triggered if any of the following conditions are met: 1) IT systems supporting billing are down for more than 30 minutes; 2) Key billing personnel unavailable for more than 2 hours; 3) Disruption in key supplier services affecting billing for over 1 hour; 4) Detection of a cyber attack on billing systems. Decision authority lies with the Operations Lead in consultation with the IT/Technology Lead.</w:t>
      </w:r>
    </w:p>
    <w:p>
      <w:pPr>
        <w:spacing w:before="80" w:after="80"/>
        <w:pBdr>
          <w:bottom w:val="single" w:sz="4" w:space="1" w:color="CCCCCC"/>
        </w:pBdr>
      </w:pPr>
    </w:p>
    <w:p>
      <w:pPr>
        <w:pStyle w:val="Heading1"/>
      </w:pPr>
      <w:r>
        <w:t>Key Assumptions</w:t>
      </w:r>
    </w:p>
    <w:p>
      <w:pPr>
        <w:pStyle w:val="ListBullet"/>
      </w:pPr>
      <w:r>
        <w:t>Backup systems are regularly tested and fully operational.</w:t>
      </w:r>
    </w:p>
    <w:p>
      <w:pPr>
        <w:pStyle w:val="ListBullet"/>
      </w:pPr>
      <w:r>
        <w:t>Alternative suppliers can fulfill orders within 24 hours.</w:t>
      </w:r>
    </w:p>
    <w:p>
      <w:pPr>
        <w:pStyle w:val="ListBullet"/>
      </w:pPr>
      <w:r>
        <w:t>Manual processes are viable and meet compliance requirements.</w:t>
      </w:r>
    </w:p>
    <w:p>
      <w:pPr>
        <w:pStyle w:val="ListBullet"/>
      </w:pPr>
      <w:r>
        <w:t>Key personnel and contact information are up-to-date.</w:t>
      </w:r>
    </w:p>
    <w:p>
      <w:pPr>
        <w:spacing w:before="80" w:after="80"/>
        <w:pBdr>
          <w:bottom w:val="single" w:sz="4" w:space="1" w:color="CCCCCC"/>
        </w:pBdr>
      </w:pPr>
    </w:p>
    <w:p>
      <w:pPr>
        <w:pStyle w:val="Heading1"/>
      </w:pPr>
      <w:r>
        <w:t>Recovery Steps</w:t>
      </w:r>
    </w:p>
    <w:p>
      <w:pPr>
        <w:pStyle w:val="ListNumber"/>
      </w:pPr>
      <w:r>
        <w:rPr>
          <w:b/>
        </w:rPr>
        <w:t>Activate the Incident Management Team (IMT) and notify key stakeholders.</w:t>
      </w:r>
      <w:r>
        <w:rPr>
          <w:color w:val="6C757D"/>
        </w:rPr>
        <w:t xml:space="preserve">  [Owner: Operations Lead]</w:t>
      </w:r>
    </w:p>
    <w:p>
      <w:pPr>
        <w:spacing w:before="0"/>
        <w:ind w:left="567"/>
      </w:pPr>
      <w:r>
        <w:rPr>
          <w:color w:val="6C757D"/>
          <w:sz w:val="20"/>
        </w:rPr>
        <w:t xml:space="preserve">    Ensure all team members are aware of their roles.</w:t>
      </w:r>
    </w:p>
    <w:p>
      <w:pPr>
        <w:pStyle w:val="ListNumber"/>
      </w:pPr>
      <w:r>
        <w:rPr>
          <w:b/>
        </w:rPr>
        <w:t>Assess the scope and impact of the disruption on billing operations.</w:t>
      </w:r>
      <w:r>
        <w:rPr>
          <w:color w:val="6C757D"/>
        </w:rPr>
        <w:t xml:space="preserve">  [Owner: IT/Technology Lead]</w:t>
      </w:r>
    </w:p>
    <w:p>
      <w:pPr>
        <w:spacing w:before="0"/>
        <w:ind w:left="567"/>
      </w:pPr>
      <w:r>
        <w:rPr>
          <w:color w:val="6C757D"/>
          <w:sz w:val="20"/>
        </w:rPr>
        <w:t xml:space="preserve">    Use diagnostic tools to quickly identify affected systems.</w:t>
      </w:r>
    </w:p>
    <w:p>
      <w:pPr>
        <w:pStyle w:val="ListNumber"/>
      </w:pPr>
      <w:r>
        <w:rPr>
          <w:b/>
        </w:rPr>
        <w:t>Implement manual billing processes if IT systems are unavailable.</w:t>
      </w:r>
      <w:r>
        <w:rPr>
          <w:color w:val="6C757D"/>
        </w:rPr>
        <w:t xml:space="preserve">  [Owner: Operations Lead]</w:t>
      </w:r>
    </w:p>
    <w:p>
      <w:pPr>
        <w:spacing w:before="0"/>
        <w:ind w:left="567"/>
      </w:pPr>
      <w:r>
        <w:rPr>
          <w:color w:val="6C757D"/>
          <w:sz w:val="20"/>
        </w:rPr>
        <w:t xml:space="preserve">    Ensure compliance with financial regulations during manual operations.</w:t>
      </w:r>
    </w:p>
    <w:p>
      <w:pPr>
        <w:pStyle w:val="ListNumber"/>
      </w:pPr>
      <w:r>
        <w:rPr>
          <w:b/>
        </w:rPr>
        <w:t>Establish communication with alternative suppliers if primary supplier fails.</w:t>
      </w:r>
      <w:r>
        <w:rPr>
          <w:color w:val="6C757D"/>
        </w:rPr>
        <w:t xml:space="preserve">  [Owner: Operations Lead]</w:t>
      </w:r>
    </w:p>
    <w:p>
      <w:pPr>
        <w:spacing w:before="0"/>
        <w:ind w:left="567"/>
      </w:pPr>
      <w:r>
        <w:rPr>
          <w:color w:val="6C757D"/>
          <w:sz w:val="20"/>
        </w:rPr>
        <w:t xml:space="preserve">    Ensure contractual agreements allow rapid supplier switching.</w:t>
      </w:r>
    </w:p>
    <w:p>
      <w:pPr>
        <w:pStyle w:val="ListNumber"/>
      </w:pPr>
      <w:r>
        <w:rPr>
          <w:b/>
        </w:rPr>
        <w:t>Restore IT systems using backup data to meet RPO requirements.</w:t>
      </w:r>
      <w:r>
        <w:rPr>
          <w:color w:val="6C757D"/>
        </w:rPr>
        <w:t xml:space="preserve">  [Owner: IT/Technology Lead]</w:t>
      </w:r>
    </w:p>
    <w:p>
      <w:pPr>
        <w:spacing w:before="0"/>
        <w:ind w:left="567"/>
      </w:pPr>
      <w:r>
        <w:rPr>
          <w:color w:val="6C757D"/>
          <w:sz w:val="20"/>
        </w:rPr>
        <w:t xml:space="preserve">    Confirm data integrity post-restoration.</w:t>
      </w:r>
    </w:p>
    <w:p>
      <w:pPr>
        <w:pStyle w:val="ListNumber"/>
      </w:pPr>
      <w:r>
        <w:rPr>
          <w:b/>
        </w:rPr>
        <w:t>Resume automated billing processes once IT systems are restored.</w:t>
      </w:r>
      <w:r>
        <w:rPr>
          <w:color w:val="6C757D"/>
        </w:rPr>
        <w:t xml:space="preserve">  [Owner: Operations Lead]</w:t>
      </w:r>
    </w:p>
    <w:p>
      <w:pPr>
        <w:spacing w:before="0"/>
        <w:ind w:left="567"/>
      </w:pPr>
      <w:r>
        <w:rPr>
          <w:color w:val="6C757D"/>
          <w:sz w:val="20"/>
        </w:rPr>
        <w:t xml:space="preserve">    Verify accuracy of automated billing processes.</w:t>
      </w:r>
    </w:p>
    <w:p>
      <w:pPr>
        <w:pStyle w:val="ListNumber"/>
      </w:pPr>
      <w:r>
        <w:rPr>
          <w:b/>
        </w:rPr>
        <w:t>Communicate status updates to customers and stakeholders.</w:t>
      </w:r>
      <w:r>
        <w:rPr>
          <w:color w:val="6C757D"/>
        </w:rPr>
        <w:t xml:space="preserve">  [Owner: Communications Lead]</w:t>
      </w:r>
    </w:p>
    <w:p>
      <w:pPr>
        <w:spacing w:before="0"/>
        <w:ind w:left="567"/>
      </w:pPr>
      <w:r>
        <w:rPr>
          <w:color w:val="6C757D"/>
          <w:sz w:val="20"/>
        </w:rPr>
        <w:t xml:space="preserve">    Use pre-approved communication templates.</w:t>
      </w:r>
    </w:p>
    <w:p>
      <w:pPr>
        <w:pStyle w:val="ListNumber"/>
      </w:pPr>
      <w:r>
        <w:rPr>
          <w:b/>
        </w:rPr>
        <w:t>Conduct a thorough review of the disruption and recovery process.</w:t>
      </w:r>
      <w:r>
        <w:rPr>
          <w:color w:val="6C757D"/>
        </w:rPr>
        <w:t xml:space="preserve">  [Owner: Plan Owner]</w:t>
      </w:r>
    </w:p>
    <w:p>
      <w:pPr>
        <w:spacing w:before="0"/>
        <w:ind w:left="567"/>
      </w:pPr>
      <w:r>
        <w:rPr>
          <w:color w:val="6C757D"/>
          <w:sz w:val="20"/>
        </w:rPr>
        <w:t xml:space="preserve">    Identify lessons learned and areas for improvement.</w:t>
      </w:r>
    </w:p>
    <w:p>
      <w:pPr>
        <w:pStyle w:val="ListNumber"/>
      </w:pPr>
      <w:r>
        <w:rPr>
          <w:b/>
        </w:rPr>
        <w:t>Update all relevant documentation and systems to reflect any changes made during recovery.</w:t>
      </w:r>
      <w:r>
        <w:rPr>
          <w:color w:val="6C757D"/>
        </w:rPr>
        <w:t xml:space="preserve">  [Owner: Plan Owner]</w:t>
      </w:r>
    </w:p>
    <w:p>
      <w:pPr>
        <w:spacing w:before="0"/>
        <w:ind w:left="567"/>
      </w:pPr>
      <w:r>
        <w:rPr>
          <w:color w:val="6C757D"/>
          <w:sz w:val="20"/>
        </w:rPr>
        <w:t xml:space="preserve">    Ensure all changes are communicated to relevant teams.</w:t>
      </w:r>
    </w:p>
    <w:p>
      <w:pPr>
        <w:pStyle w:val="ListNumber"/>
      </w:pPr>
      <w:r>
        <w:rPr>
          <w:b/>
        </w:rPr>
        <w:t>Test all systems for functionality and stability post-recovery.</w:t>
      </w:r>
      <w:r>
        <w:rPr>
          <w:color w:val="6C757D"/>
        </w:rPr>
        <w:t xml:space="preserve">  [Owner: IT/Technology Lead]</w:t>
      </w:r>
    </w:p>
    <w:p>
      <w:pPr>
        <w:spacing w:before="0"/>
        <w:ind w:left="567"/>
      </w:pPr>
      <w:r>
        <w:rPr>
          <w:color w:val="6C757D"/>
          <w:sz w:val="20"/>
        </w:rPr>
        <w:t xml:space="preserve">    Ensure systems meet operational standards.</w:t>
      </w:r>
    </w:p>
    <w:p>
      <w:pPr>
        <w:pStyle w:val="ListNumber"/>
      </w:pPr>
      <w:r>
        <w:rPr>
          <w:b/>
        </w:rPr>
        <w:t>Resume normal billing operations and monitor for any residual issues.</w:t>
      </w:r>
      <w:r>
        <w:rPr>
          <w:color w:val="6C757D"/>
        </w:rPr>
        <w:t xml:space="preserve">  [Owner: Operations Lead]</w:t>
      </w:r>
    </w:p>
    <w:p>
      <w:pPr>
        <w:spacing w:before="0"/>
        <w:ind w:left="567"/>
      </w:pPr>
      <w:r>
        <w:rPr>
          <w:color w:val="6C757D"/>
          <w:sz w:val="20"/>
        </w:rPr>
        <w:t xml:space="preserve">    Continue monitoring for 24 hours post-normalisation.</w:t>
      </w:r>
    </w:p>
    <w:p>
      <w:pPr>
        <w:pStyle w:val="ListNumber"/>
      </w:pPr>
      <w:r>
        <w:rPr>
          <w:b/>
        </w:rPr>
        <w:t>Conduct a debrief session with all involved teams to consolidate feedback.</w:t>
      </w:r>
      <w:r>
        <w:rPr>
          <w:color w:val="6C757D"/>
        </w:rPr>
        <w:t xml:space="preserve">  [Owner: Plan Owner]</w:t>
      </w:r>
    </w:p>
    <w:p>
      <w:pPr>
        <w:spacing w:before="0"/>
        <w:ind w:left="567"/>
      </w:pPr>
      <w:r>
        <w:rPr>
          <w:color w:val="6C757D"/>
          <w:sz w:val="20"/>
        </w:rPr>
        <w:t xml:space="preserve">    Document feedback for future improvements.</w:t>
      </w:r>
    </w:p>
    <w:p>
      <w:pPr>
        <w:spacing w:before="80" w:after="80"/>
        <w:pBdr>
          <w:bottom w:val="single" w:sz="4" w:space="1" w:color="CCCCCC"/>
        </w:pBdr>
      </w:pPr>
    </w:p>
    <w:p>
      <w:pPr>
        <w:pStyle w:val="Heading1"/>
      </w:pPr>
      <w:r>
        <w:t>Key Contacts</w:t>
      </w:r>
    </w:p>
    <w:tbl>
      <w:tblPr>
        <w:tblStyle w:val="TableGrid"/>
        <w:tblW w:type="auto" w:w="0"/>
        <w:tblLook w:firstColumn="1" w:firstRow="1" w:lastColumn="0" w:lastRow="0" w:noHBand="0" w:noVBand="1" w:val="04A0"/>
      </w:tblPr>
      <w:tblGrid>
        <w:gridCol w:w="2351"/>
        <w:gridCol w:w="2351"/>
        <w:gridCol w:w="2351"/>
        <w:gridCol w:w="2351"/>
      </w:tblGrid>
      <w:tr>
        <w:tc>
          <w:tcPr>
            <w:tcW w:type="dxa" w:w="2351"/>
            <w:shd w:val="clear" w:color="auto" w:fill="0D6EFD"/>
          </w:tcPr>
          <w:p>
            <w:r>
              <w:rPr>
                <w:b/>
                <w:color w:val="FFFFFF"/>
                <w:sz w:val="18"/>
              </w:rPr>
              <w:t>Role</w:t>
            </w:r>
          </w:p>
        </w:tc>
        <w:tc>
          <w:tcPr>
            <w:tcW w:type="dxa" w:w="2351"/>
            <w:shd w:val="clear" w:color="auto" w:fill="0D6EFD"/>
          </w:tcPr>
          <w:p>
            <w:r>
              <w:rPr>
                <w:b/>
                <w:color w:val="FFFFFF"/>
                <w:sz w:val="18"/>
              </w:rPr>
              <w:t>Name</w:t>
            </w:r>
          </w:p>
        </w:tc>
        <w:tc>
          <w:tcPr>
            <w:tcW w:type="dxa" w:w="2351"/>
            <w:shd w:val="clear" w:color="auto" w:fill="0D6EFD"/>
          </w:tcPr>
          <w:p>
            <w:r>
              <w:rPr>
                <w:b/>
                <w:color w:val="FFFFFF"/>
                <w:sz w:val="18"/>
              </w:rPr>
              <w:t>Phone</w:t>
            </w:r>
          </w:p>
        </w:tc>
        <w:tc>
          <w:tcPr>
            <w:tcW w:type="dxa" w:w="2351"/>
            <w:shd w:val="clear" w:color="auto" w:fill="0D6EFD"/>
          </w:tcPr>
          <w:p>
            <w:r>
              <w:rPr>
                <w:b/>
                <w:color w:val="FFFFFF"/>
                <w:sz w:val="18"/>
              </w:rPr>
              <w:t>Email</w:t>
            </w:r>
          </w:p>
        </w:tc>
      </w:tr>
      <w:tr>
        <w:tc>
          <w:tcPr>
            <w:tcW w:type="dxa" w:w="2351"/>
            <w:shd w:val="clear" w:color="auto" w:fill="F8F9FA"/>
          </w:tcPr>
          <w:p>
            <w:r>
              <w:t>Plan Owner</w:t>
            </w:r>
          </w:p>
        </w:tc>
        <w:tc>
          <w:tcPr>
            <w:tcW w:type="dxa" w:w="2351"/>
            <w:shd w:val="clear" w:color="auto" w:fill="F8F9FA"/>
          </w:tcPr>
          <w:p>
            <w:r>
              <w:t>TBD</w:t>
            </w:r>
          </w:p>
        </w:tc>
        <w:tc>
          <w:tcPr>
            <w:tcW w:type="dxa" w:w="2351"/>
            <w:shd w:val="clear" w:color="auto" w:fill="F8F9FA"/>
          </w:tcPr>
          <w:p>
            <w:r>
              <w:t>TBD</w:t>
            </w:r>
          </w:p>
        </w:tc>
        <w:tc>
          <w:tcPr>
            <w:tcW w:type="dxa" w:w="2351"/>
            <w:shd w:val="clear" w:color="auto" w:fill="F8F9FA"/>
          </w:tcPr>
          <w:p>
            <w:r>
              <w:t>TBD</w:t>
            </w:r>
          </w:p>
        </w:tc>
      </w:tr>
      <w:tr>
        <w:tc>
          <w:tcPr>
            <w:tcW w:type="dxa" w:w="2351"/>
            <w:shd w:val="clear" w:color="auto" w:fill="F8F9FA"/>
          </w:tcPr>
          <w:p>
            <w:r>
              <w:t>Operations Lead</w:t>
            </w:r>
          </w:p>
        </w:tc>
        <w:tc>
          <w:tcPr>
            <w:tcW w:type="dxa" w:w="2351"/>
            <w:shd w:val="clear" w:color="auto" w:fill="F8F9FA"/>
          </w:tcPr>
          <w:p>
            <w:r>
              <w:t>TBD</w:t>
            </w:r>
          </w:p>
        </w:tc>
        <w:tc>
          <w:tcPr>
            <w:tcW w:type="dxa" w:w="2351"/>
            <w:shd w:val="clear" w:color="auto" w:fill="F8F9FA"/>
          </w:tcPr>
          <w:p>
            <w:r>
              <w:t>TBD</w:t>
            </w:r>
          </w:p>
        </w:tc>
        <w:tc>
          <w:tcPr>
            <w:tcW w:type="dxa" w:w="2351"/>
            <w:shd w:val="clear" w:color="auto" w:fill="F8F9FA"/>
          </w:tcPr>
          <w:p>
            <w:r>
              <w:t>TBD</w:t>
            </w:r>
          </w:p>
        </w:tc>
      </w:tr>
      <w:tr>
        <w:tc>
          <w:tcPr>
            <w:tcW w:type="dxa" w:w="2351"/>
            <w:shd w:val="clear" w:color="auto" w:fill="F8F9FA"/>
          </w:tcPr>
          <w:p>
            <w:r>
              <w:t>IT/Technology Lead</w:t>
            </w:r>
          </w:p>
        </w:tc>
        <w:tc>
          <w:tcPr>
            <w:tcW w:type="dxa" w:w="2351"/>
            <w:shd w:val="clear" w:color="auto" w:fill="F8F9FA"/>
          </w:tcPr>
          <w:p>
            <w:r>
              <w:t>TBD</w:t>
            </w:r>
          </w:p>
        </w:tc>
        <w:tc>
          <w:tcPr>
            <w:tcW w:type="dxa" w:w="2351"/>
            <w:shd w:val="clear" w:color="auto" w:fill="F8F9FA"/>
          </w:tcPr>
          <w:p>
            <w:r>
              <w:t>TBD</w:t>
            </w:r>
          </w:p>
        </w:tc>
        <w:tc>
          <w:tcPr>
            <w:tcW w:type="dxa" w:w="2351"/>
            <w:shd w:val="clear" w:color="auto" w:fill="F8F9FA"/>
          </w:tcPr>
          <w:p>
            <w:r>
              <w:t>TBD</w:t>
            </w:r>
          </w:p>
        </w:tc>
      </w:tr>
      <w:tr>
        <w:tc>
          <w:tcPr>
            <w:tcW w:type="dxa" w:w="2351"/>
            <w:shd w:val="clear" w:color="auto" w:fill="F8F9FA"/>
          </w:tcPr>
          <w:p>
            <w:r>
              <w:t>Communications Lead</w:t>
            </w:r>
          </w:p>
        </w:tc>
        <w:tc>
          <w:tcPr>
            <w:tcW w:type="dxa" w:w="2351"/>
            <w:shd w:val="clear" w:color="auto" w:fill="F8F9FA"/>
          </w:tcPr>
          <w:p>
            <w:r>
              <w:t>TBD</w:t>
            </w:r>
          </w:p>
        </w:tc>
        <w:tc>
          <w:tcPr>
            <w:tcW w:type="dxa" w:w="2351"/>
            <w:shd w:val="clear" w:color="auto" w:fill="F8F9FA"/>
          </w:tcPr>
          <w:p>
            <w:r>
              <w:t>TBD</w:t>
            </w:r>
          </w:p>
        </w:tc>
        <w:tc>
          <w:tcPr>
            <w:tcW w:type="dxa" w:w="2351"/>
            <w:shd w:val="clear" w:color="auto" w:fill="F8F9FA"/>
          </w:tcPr>
          <w:p>
            <w:r>
              <w:t>TBD</w:t>
            </w:r>
          </w:p>
        </w:tc>
      </w:tr>
      <w:tr>
        <w:tc>
          <w:tcPr>
            <w:tcW w:type="dxa" w:w="2351"/>
            <w:shd w:val="clear" w:color="auto" w:fill="F8F9FA"/>
          </w:tcPr>
          <w:p>
            <w:r>
              <w:t>Facilities/Security Lead</w:t>
            </w:r>
          </w:p>
        </w:tc>
        <w:tc>
          <w:tcPr>
            <w:tcW w:type="dxa" w:w="2351"/>
            <w:shd w:val="clear" w:color="auto" w:fill="F8F9FA"/>
          </w:tcPr>
          <w:p>
            <w:r>
              <w:t>TBD</w:t>
            </w:r>
          </w:p>
        </w:tc>
        <w:tc>
          <w:tcPr>
            <w:tcW w:type="dxa" w:w="2351"/>
            <w:shd w:val="clear" w:color="auto" w:fill="F8F9FA"/>
          </w:tcPr>
          <w:p>
            <w:r>
              <w:t>TBD</w:t>
            </w:r>
          </w:p>
        </w:tc>
        <w:tc>
          <w:tcPr>
            <w:tcW w:type="dxa" w:w="2351"/>
            <w:shd w:val="clear" w:color="auto" w:fill="F8F9FA"/>
          </w:tcPr>
          <w:p>
            <w:r>
              <w:t>TBD</w:t>
            </w:r>
          </w:p>
        </w:tc>
      </w:tr>
    </w:tbl>
    <w:p/>
    <w:p>
      <w:pPr>
        <w:spacing w:before="80" w:after="80"/>
        <w:pBdr>
          <w:bottom w:val="single" w:sz="4" w:space="1" w:color="CCCCCC"/>
        </w:pBdr>
      </w:pPr>
    </w:p>
    <w:p>
      <w:pPr>
        <w:pStyle w:val="Heading1"/>
      </w:pPr>
      <w:r>
        <w:t>Communication Template</w:t>
      </w:r>
    </w:p>
    <w:p>
      <w:r>
        <w:t>To: All Staff</w:t>
      </w:r>
    </w:p>
    <w:p>
      <w:r>
        <w:t>From: Communications Lead</w:t>
      </w:r>
    </w:p>
    <w:p>
      <w:r>
        <w:t>Subject: Billing Operations Disruption Notification</w:t>
      </w:r>
    </w:p>
    <w:p>
      <w:r>
        <w:t>Body: We are currently experiencing a disruption affecting our billing operations. Our teams are actively working to resolve the issue and ensure the continuity of services. We will provide updates as the situation evolves. Please direct any urgent inquiries to the Operations Lead at [contact information].</w:t>
      </w:r>
    </w:p>
    <w:p>
      <w:r>
        <w:t>Authorised by: Communications Lead</w:t>
      </w:r>
    </w:p>
    <w:p>
      <w:pPr>
        <w:spacing w:before="80" w:after="80"/>
        <w:pBdr>
          <w:bottom w:val="single" w:sz="4" w:space="1" w:color="CCCCCC"/>
        </w:pBdr>
      </w:pPr>
    </w:p>
    <w:p>
      <w:pPr>
        <w:pStyle w:val="Heading1"/>
      </w:pPr>
      <w:r>
        <w:t>Escalation Path</w:t>
      </w:r>
    </w:p>
    <w:p>
      <w:pPr>
        <w:pStyle w:val="ListBullet"/>
      </w:pPr>
      <w:r>
        <w:t>1. Operations Lead assesses initial impact and informs Plan Owner</w:t>
      </w:r>
    </w:p>
    <w:p>
      <w:pPr>
        <w:pStyle w:val="ListBullet"/>
      </w:pPr>
      <w:r>
        <w:t>2. Plan Owner convenes IMT if criteria met</w:t>
      </w:r>
    </w:p>
    <w:p>
      <w:pPr>
        <w:pStyle w:val="ListBullet"/>
      </w:pPr>
      <w:r>
        <w:t>3. IT/Technology Lead informs external IT support if internal resolution exceeds RTO</w:t>
      </w:r>
    </w:p>
    <w:p>
      <w:pPr>
        <w:pStyle w:val="ListBullet"/>
      </w:pPr>
      <w:r>
        <w:t>4. Communications Lead engages with external media if customer impact is significant</w:t>
      </w:r>
    </w:p>
    <w:p>
      <w:pPr>
        <w:spacing w:before="80" w:after="80"/>
        <w:pBdr>
          <w:bottom w:val="single" w:sz="4" w:space="1" w:color="CCCCCC"/>
        </w:pBdr>
      </w:pPr>
    </w:p>
    <w:p>
      <w:pPr>
        <w:pStyle w:val="Heading1"/>
      </w:pPr>
      <w:r>
        <w:t>Success Criteria</w:t>
      </w:r>
    </w:p>
    <w:p>
      <w:pPr>
        <w:pStyle w:val="ListBullet"/>
      </w:pPr>
      <w:r>
        <w:t>Core payment processing restored within 4-hour RTO.</w:t>
      </w:r>
    </w:p>
    <w:p>
      <w:pPr>
        <w:pStyle w:val="ListBullet"/>
      </w:pPr>
      <w:r>
        <w:t>All customer invoices processed within 6-hour RTO.</w:t>
      </w:r>
    </w:p>
    <w:p>
      <w:pPr>
        <w:pStyle w:val="ListBullet"/>
      </w:pPr>
      <w:r>
        <w:t>Debt recovery processes resumed within 12-hour RTO.</w:t>
      </w:r>
    </w:p>
    <w:p>
      <w:pPr>
        <w:pStyle w:val="ListBullet"/>
      </w:pPr>
      <w:r>
        <w:t>No regulatory breaches or penalties incurred during disruption.</w:t>
      </w:r>
    </w:p>
    <w:p>
      <w:pPr>
        <w:spacing w:before="80" w:after="80"/>
        <w:pBdr>
          <w:bottom w:val="single" w:sz="4" w:space="1" w:color="CCCCCC"/>
        </w:pBdr>
      </w:pPr>
    </w:p>
    <w:sectPr w:rsidR="00FC693F" w:rsidRPr="0006063C" w:rsidSect="00034616">
      <w:footerReference w:type="default" r:id="rId9"/>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C757D"/>
        <w:sz w:val="16"/>
      </w:rPr>
      <w:t>CONFIDENTIAL  |  Billing – Business Continuity Plan  |  Generated by BC Studio on 17 July 2026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