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D1117"/>
          <w:sz w:val="44"/>
        </w:rPr>
        <w:t>Customer Service – Business Continuity Plan</w:t>
      </w:r>
    </w:p>
    <w:p>
      <w:pPr>
        <w:jc w:val="center"/>
      </w:pPr>
      <w:r>
        <w:rPr>
          <w:sz w:val="24"/>
        </w:rPr>
        <w:t>Business Continuity Plan  |  Barwon Water</w:t>
      </w:r>
    </w:p>
    <w:p>
      <w:pPr>
        <w:jc w:val="center"/>
      </w:pPr>
      <w:r>
        <w:rPr>
          <w:color w:val="6C757D"/>
          <w:sz w:val="20"/>
        </w:rPr>
        <w:t>Version 1.1  |  Status: DRAFT</w:t>
      </w:r>
    </w:p>
    <w:p>
      <w:pPr>
        <w:jc w:val="center"/>
      </w:pPr>
      <w:r>
        <w:rPr>
          <w:sz w:val="20"/>
        </w:rPr>
        <w:t>Critical Operation: Customer Service</w:t>
      </w:r>
    </w:p>
    <w:p>
      <w:pPr>
        <w:jc w:val="center"/>
      </w:pPr>
      <w:r>
        <w:rPr>
          <w:sz w:val="20"/>
        </w:rPr>
        <w:t>Scenario: Telecommunications Provider Outage</w:t>
      </w:r>
    </w:p>
    <w:p>
      <w:pPr>
        <w:spacing w:before="80" w:after="80"/>
        <w:pBdr>
          <w:bottom w:val="single" w:sz="4" w:space="1" w:color="CCCCCC"/>
        </w:pBdr>
      </w:pPr>
    </w:p>
    <w:p>
      <w:pPr>
        <w:pStyle w:val="Heading1"/>
      </w:pPr>
      <w:r>
        <w:t>Purpose &amp; Scope</w:t>
      </w:r>
    </w:p>
    <w:p>
      <w:r>
        <w:t>The Customer Service Business Continuity Plan provides a framework for responding to disruptions in telecommunications that impact customer service operations. This plan aims to ensure the continuity of call centre operations and maintain customer satisfaction by leveraging backup systems and alternate communication methods.</w:t>
      </w:r>
    </w:p>
    <w:p>
      <w:pPr>
        <w:spacing w:before="80" w:after="80"/>
        <w:pBdr>
          <w:bottom w:val="single" w:sz="4" w:space="1" w:color="CCCCCC"/>
        </w:pBdr>
      </w:pPr>
    </w:p>
    <w:p>
      <w:pPr>
        <w:pStyle w:val="Heading1"/>
      </w:pPr>
      <w:r>
        <w:t>Invocation Criteria</w:t>
      </w:r>
    </w:p>
    <w:p>
      <w:r>
        <w:t>This plan is invoked when any of the following conditions are met:</w:t>
      </w:r>
    </w:p>
    <w:p>
      <w:pPr>
        <w:pStyle w:val="ListBullet"/>
      </w:pPr>
      <w:r>
        <w:t>Activation is triggered when the primary telecommunications provider experiences an outage exceeding 15 minutes without resolution, affecting call centre operations. The Chief Customer Officer has decision authority to invoke the plan.</w:t>
      </w:r>
    </w:p>
    <w:p>
      <w:pPr>
        <w:spacing w:before="80" w:after="80"/>
        <w:pBdr>
          <w:bottom w:val="single" w:sz="4" w:space="1" w:color="CCCCCC"/>
        </w:pBdr>
      </w:pPr>
    </w:p>
    <w:p>
      <w:pPr>
        <w:pStyle w:val="Heading1"/>
      </w:pPr>
      <w:r>
        <w:t>Key Assumptions</w:t>
      </w:r>
    </w:p>
    <w:p>
      <w:pPr>
        <w:pStyle w:val="ListBullet"/>
      </w:pPr>
      <w:r>
        <w:t>Secondary telecommunications provider is available and operational.</w:t>
      </w:r>
    </w:p>
    <w:p>
      <w:pPr>
        <w:pStyle w:val="ListBullet"/>
      </w:pPr>
      <w:r>
        <w:t>Remote working infrastructure is functional and accessible to all agents.</w:t>
      </w:r>
    </w:p>
    <w:p>
      <w:pPr>
        <w:pStyle w:val="ListBullet"/>
      </w:pPr>
      <w:r>
        <w:t>Telecommunications provider will communicate timely updates on the outage.</w:t>
      </w:r>
    </w:p>
    <w:p>
      <w:pPr>
        <w:spacing w:before="80" w:after="80"/>
        <w:pBdr>
          <w:bottom w:val="single" w:sz="4" w:space="1" w:color="CCCCCC"/>
        </w:pBdr>
      </w:pPr>
    </w:p>
    <w:p>
      <w:pPr>
        <w:pStyle w:val="Heading1"/>
      </w:pPr>
      <w:r>
        <w:t>Recovery Steps</w:t>
      </w:r>
    </w:p>
    <w:p>
      <w:pPr>
        <w:pStyle w:val="ListNumber"/>
      </w:pPr>
      <w:r>
        <w:rPr>
          <w:b/>
        </w:rPr>
        <w:t>Notify Crisis Management Team of telecommunications outage.</w:t>
      </w:r>
      <w:r>
        <w:rPr>
          <w:color w:val="6C757D"/>
        </w:rPr>
        <w:t xml:space="preserve">  [Owner: Plan Owner]</w:t>
      </w:r>
    </w:p>
    <w:p>
      <w:pPr>
        <w:spacing w:before="0"/>
        <w:ind w:left="567"/>
      </w:pPr>
      <w:r>
        <w:rPr>
          <w:color w:val="6C757D"/>
          <w:sz w:val="20"/>
        </w:rPr>
        <w:t xml:space="preserve">    Ensure all team members are aware of the outage and ready to mobilize.</w:t>
      </w:r>
    </w:p>
    <w:p>
      <w:pPr>
        <w:pStyle w:val="ListNumber"/>
      </w:pPr>
      <w:r>
        <w:rPr>
          <w:b/>
        </w:rPr>
        <w:t>Activate secondary telecommunications provider.</w:t>
      </w:r>
      <w:r>
        <w:rPr>
          <w:color w:val="6C757D"/>
        </w:rPr>
        <w:t xml:space="preserve">  [Owner: IT/Technology Lead]</w:t>
      </w:r>
    </w:p>
    <w:p>
      <w:pPr>
        <w:spacing w:before="0"/>
        <w:ind w:left="567"/>
      </w:pPr>
      <w:r>
        <w:rPr>
          <w:color w:val="6C757D"/>
          <w:sz w:val="20"/>
        </w:rPr>
        <w:t xml:space="preserve">    Reference 'Telecommunications Provider Redundancy' strategy — ID 4.</w:t>
      </w:r>
    </w:p>
    <w:p>
      <w:pPr>
        <w:pStyle w:val="ListNumber"/>
      </w:pPr>
      <w:r>
        <w:rPr>
          <w:b/>
        </w:rPr>
        <w:t>Issue initial holding statement to customers.</w:t>
      </w:r>
      <w:r>
        <w:rPr>
          <w:color w:val="6C757D"/>
        </w:rPr>
        <w:t xml:space="preserve">  [Owner: Communications Lead]</w:t>
      </w:r>
    </w:p>
    <w:p>
      <w:pPr>
        <w:spacing w:before="0"/>
        <w:ind w:left="567"/>
      </w:pPr>
      <w:r>
        <w:rPr>
          <w:color w:val="6C757D"/>
          <w:sz w:val="20"/>
        </w:rPr>
        <w:t xml:space="preserve">    Ensure message consistency and alignment with regulatory requirements.</w:t>
      </w:r>
    </w:p>
    <w:p>
      <w:pPr>
        <w:pStyle w:val="ListNumber"/>
      </w:pPr>
      <w:r>
        <w:rPr>
          <w:b/>
        </w:rPr>
        <w:t>Set up remote working capabilities for call centre agents.</w:t>
      </w:r>
      <w:r>
        <w:rPr>
          <w:color w:val="6C757D"/>
        </w:rPr>
        <w:t xml:space="preserve">  [Owner: Operations Lead]</w:t>
      </w:r>
    </w:p>
    <w:p>
      <w:pPr>
        <w:spacing w:before="0"/>
        <w:ind w:left="567"/>
      </w:pPr>
      <w:r>
        <w:rPr>
          <w:color w:val="6C757D"/>
          <w:sz w:val="20"/>
        </w:rPr>
        <w:t xml:space="preserve">    Agents will work from home using backup communication systems.</w:t>
      </w:r>
    </w:p>
    <w:p>
      <w:pPr>
        <w:pStyle w:val="ListNumber"/>
      </w:pPr>
      <w:r>
        <w:rPr>
          <w:b/>
        </w:rPr>
        <w:t>Coordinate with the telecommunications provider for outage resolution.</w:t>
      </w:r>
      <w:r>
        <w:rPr>
          <w:color w:val="6C757D"/>
        </w:rPr>
        <w:t xml:space="preserve">  [Owner: IT/Technology Lead]</w:t>
      </w:r>
    </w:p>
    <w:p>
      <w:pPr>
        <w:spacing w:before="0"/>
        <w:ind w:left="567"/>
      </w:pPr>
      <w:r>
        <w:rPr>
          <w:color w:val="6C757D"/>
          <w:sz w:val="20"/>
        </w:rPr>
        <w:t xml:space="preserve">    Regular updates required from the provider on resolution progress.</w:t>
      </w:r>
    </w:p>
    <w:p>
      <w:pPr>
        <w:pStyle w:val="ListNumber"/>
      </w:pPr>
      <w:r>
        <w:rPr>
          <w:b/>
        </w:rPr>
        <w:t>Monitor call centre operations for performance issues.</w:t>
      </w:r>
      <w:r>
        <w:rPr>
          <w:color w:val="6C757D"/>
        </w:rPr>
        <w:t xml:space="preserve">  [Owner: Operations Lead]</w:t>
      </w:r>
    </w:p>
    <w:p>
      <w:pPr>
        <w:spacing w:before="0"/>
        <w:ind w:left="567"/>
      </w:pPr>
      <w:r>
        <w:rPr>
          <w:color w:val="6C757D"/>
          <w:sz w:val="20"/>
        </w:rPr>
        <w:t xml:space="preserve">    Ensure service levels meet minimum business continuity objectives.</w:t>
      </w:r>
    </w:p>
    <w:p>
      <w:pPr>
        <w:pStyle w:val="ListNumber"/>
      </w:pPr>
      <w:r>
        <w:rPr>
          <w:b/>
        </w:rPr>
        <w:t>Prepare and send detailed communication to stakeholders.</w:t>
      </w:r>
      <w:r>
        <w:rPr>
          <w:color w:val="6C757D"/>
        </w:rPr>
        <w:t xml:space="preserve">  [Owner: Communications Lead]</w:t>
      </w:r>
    </w:p>
    <w:p>
      <w:pPr>
        <w:spacing w:before="0"/>
        <w:ind w:left="567"/>
      </w:pPr>
      <w:r>
        <w:rPr>
          <w:color w:val="6C757D"/>
          <w:sz w:val="20"/>
        </w:rPr>
        <w:t xml:space="preserve">    Include impact assessment and recovery timeline.</w:t>
      </w:r>
    </w:p>
    <w:p>
      <w:pPr>
        <w:pStyle w:val="ListNumber"/>
      </w:pPr>
      <w:r>
        <w:rPr>
          <w:b/>
        </w:rPr>
        <w:t>Conduct a situation report and update the Crisis Management Team.</w:t>
      </w:r>
      <w:r>
        <w:rPr>
          <w:color w:val="6C757D"/>
        </w:rPr>
        <w:t xml:space="preserve">  [Owner: Plan Owner]</w:t>
      </w:r>
    </w:p>
    <w:p>
      <w:pPr>
        <w:spacing w:before="0"/>
        <w:ind w:left="567"/>
      </w:pPr>
      <w:r>
        <w:rPr>
          <w:color w:val="6C757D"/>
          <w:sz w:val="20"/>
        </w:rPr>
        <w:t xml:space="preserve">    Ensure the report is thorough and covers all aspects of the disruption.</w:t>
      </w:r>
    </w:p>
    <w:p>
      <w:pPr>
        <w:pStyle w:val="ListNumber"/>
      </w:pPr>
      <w:r>
        <w:rPr>
          <w:b/>
        </w:rPr>
        <w:t>Switch back to primary telecommunications provider upon resolution.</w:t>
      </w:r>
      <w:r>
        <w:rPr>
          <w:color w:val="6C757D"/>
        </w:rPr>
        <w:t xml:space="preserve">  [Owner: IT/Technology Lead]</w:t>
      </w:r>
    </w:p>
    <w:p>
      <w:pPr>
        <w:spacing w:before="0"/>
        <w:ind w:left="567"/>
      </w:pPr>
      <w:r>
        <w:rPr>
          <w:color w:val="6C757D"/>
          <w:sz w:val="20"/>
        </w:rPr>
        <w:t xml:space="preserve">    Verify system performance before full transition.</w:t>
      </w:r>
    </w:p>
    <w:p>
      <w:pPr>
        <w:pStyle w:val="ListNumber"/>
      </w:pPr>
      <w:r>
        <w:rPr>
          <w:b/>
        </w:rPr>
        <w:t>Conduct a post-incident review with all stakeholders.</w:t>
      </w:r>
      <w:r>
        <w:rPr>
          <w:color w:val="6C757D"/>
        </w:rPr>
        <w:t xml:space="preserve">  [Owner: Plan Owner]</w:t>
      </w:r>
    </w:p>
    <w:p>
      <w:pPr>
        <w:spacing w:before="0"/>
        <w:ind w:left="567"/>
      </w:pPr>
      <w:r>
        <w:rPr>
          <w:color w:val="6C757D"/>
          <w:sz w:val="20"/>
        </w:rPr>
        <w:t xml:space="preserve">    Identify lessons learned and improvement opportunities.</w:t>
      </w:r>
    </w:p>
    <w:p>
      <w:pPr>
        <w:pStyle w:val="ListNumber"/>
      </w:pPr>
      <w:r>
        <w:rPr>
          <w:b/>
        </w:rPr>
        <w:t>Update business continuity plan with insights from the incident.</w:t>
      </w:r>
      <w:r>
        <w:rPr>
          <w:color w:val="6C757D"/>
        </w:rPr>
        <w:t xml:space="preserve">  [Owner: Plan Owner]</w:t>
      </w:r>
    </w:p>
    <w:p>
      <w:pPr>
        <w:spacing w:before="0"/>
        <w:ind w:left="567"/>
      </w:pPr>
      <w:r>
        <w:rPr>
          <w:color w:val="6C757D"/>
          <w:sz w:val="20"/>
        </w:rPr>
        <w:t xml:space="preserve">    Ensure plan reflects any changes to processes or strategies.</w:t>
      </w:r>
    </w:p>
    <w:p>
      <w:pPr>
        <w:pStyle w:val="ListNumber"/>
      </w:pPr>
      <w:r>
        <w:rPr>
          <w:b/>
        </w:rPr>
        <w:t>Communicate resolution and normalisation to all stakeholders.</w:t>
      </w:r>
      <w:r>
        <w:rPr>
          <w:color w:val="6C757D"/>
        </w:rPr>
        <w:t xml:space="preserve">  [Owner: Communications Lead]</w:t>
      </w:r>
    </w:p>
    <w:p>
      <w:pPr>
        <w:spacing w:before="0"/>
        <w:ind w:left="567"/>
      </w:pPr>
      <w:r>
        <w:rPr>
          <w:color w:val="6C757D"/>
          <w:sz w:val="20"/>
        </w:rPr>
        <w:t xml:space="preserve">    Highlight improvements and thank stakeholders for their patience.</w:t>
      </w:r>
    </w:p>
    <w:p>
      <w:pPr>
        <w:spacing w:before="80" w:after="80"/>
        <w:pBdr>
          <w:bottom w:val="single" w:sz="4" w:space="1" w:color="CCCCCC"/>
        </w:pBdr>
      </w:pPr>
    </w:p>
    <w:p>
      <w:pPr>
        <w:pStyle w:val="Heading1"/>
      </w:pPr>
      <w:r>
        <w:t>Key Contacts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Role</w:t>
            </w:r>
          </w:p>
        </w:tc>
        <w:tc>
          <w:tcPr>
            <w:tcW w:type="dxa" w:w="2351"/>
            <w:shd w:val="clear" w:color="auto" w:fill="0D6EFD"/>
          </w:tcPr>
          <w:p>
            <w:r>
              <w:rPr>
                <w:b/>
                <w:color w:val="FFFFFF"/>
                <w:sz w:val="18"/>
              </w:rPr>
              <w:t>Name</w:t>
            </w:r>
          </w:p>
        </w:tc>
        <w:tc>
          <w:tcPr>
            <w:tcW w:type="dxa" w:w="2351"/>
            <w:shd w:val="clear" w:color="auto" w:fill="0D6EFD"/>
          </w:tcPr>
          <w:p>
            <w:r>
              <w:rPr>
                <w:b/>
                <w:color w:val="FFFFFF"/>
                <w:sz w:val="18"/>
              </w:rPr>
              <w:t>Phone</w:t>
            </w:r>
          </w:p>
        </w:tc>
        <w:tc>
          <w:tcPr>
            <w:tcW w:type="dxa" w:w="2351"/>
            <w:shd w:val="clear" w:color="auto" w:fill="0D6EFD"/>
          </w:tcPr>
          <w:p>
            <w:r>
              <w:rPr>
                <w:b/>
                <w:color w:val="FFFFFF"/>
                <w:sz w:val="18"/>
              </w:rPr>
              <w:t>Email</w:t>
            </w:r>
          </w:p>
        </w:tc>
      </w:tr>
      <w:tr>
        <w:tc>
          <w:tcPr>
            <w:tcW w:type="dxa" w:w="2351"/>
            <w:shd w:val="clear" w:color="auto" w:fill="F8F9FA"/>
          </w:tcPr>
          <w:p>
            <w:r>
              <w:t>Plan Owner</w:t>
            </w:r>
          </w:p>
        </w:tc>
        <w:tc>
          <w:tcPr>
            <w:tcW w:type="dxa" w:w="2351"/>
            <w:shd w:val="clear" w:color="auto" w:fill="F8F9FA"/>
          </w:tcPr>
          <w:p>
            <w:r>
              <w:t>Chief Customer Officer</w:t>
            </w:r>
          </w:p>
        </w:tc>
        <w:tc>
          <w:tcPr>
            <w:tcW w:type="dxa" w:w="2351"/>
            <w:shd w:val="clear" w:color="auto" w:fill="F8F9FA"/>
          </w:tcPr>
          <w:p>
            <w:r>
              <w:t>555-0100</w:t>
            </w:r>
          </w:p>
        </w:tc>
        <w:tc>
          <w:tcPr>
            <w:tcW w:type="dxa" w:w="2351"/>
            <w:shd w:val="clear" w:color="auto" w:fill="F8F9FA"/>
          </w:tcPr>
          <w:p>
            <w:r>
              <w:t>cco@company.com</w:t>
            </w:r>
          </w:p>
        </w:tc>
      </w:tr>
      <w:tr>
        <w:tc>
          <w:tcPr>
            <w:tcW w:type="dxa" w:w="2351"/>
            <w:shd w:val="clear" w:color="auto" w:fill="F8F9FA"/>
          </w:tcPr>
          <w:p>
            <w:r>
              <w:t>Operations Lead</w:t>
            </w:r>
          </w:p>
        </w:tc>
        <w:tc>
          <w:tcPr>
            <w:tcW w:type="dxa" w:w="2351"/>
            <w:shd w:val="clear" w:color="auto" w:fill="F8F9FA"/>
          </w:tcPr>
          <w:p>
            <w:r>
              <w:t>Customer Service Manager</w:t>
            </w:r>
          </w:p>
        </w:tc>
        <w:tc>
          <w:tcPr>
            <w:tcW w:type="dxa" w:w="2351"/>
            <w:shd w:val="clear" w:color="auto" w:fill="F8F9FA"/>
          </w:tcPr>
          <w:p>
            <w:r>
              <w:t>555-0110</w:t>
            </w:r>
          </w:p>
        </w:tc>
        <w:tc>
          <w:tcPr>
            <w:tcW w:type="dxa" w:w="2351"/>
            <w:shd w:val="clear" w:color="auto" w:fill="F8F9FA"/>
          </w:tcPr>
          <w:p>
            <w:r>
              <w:t>csm@company.com</w:t>
            </w:r>
          </w:p>
        </w:tc>
      </w:tr>
      <w:tr>
        <w:tc>
          <w:tcPr>
            <w:tcW w:type="dxa" w:w="2351"/>
            <w:shd w:val="clear" w:color="auto" w:fill="F8F9FA"/>
          </w:tcPr>
          <w:p>
            <w:r>
              <w:t>IT/Technology Lead</w:t>
            </w:r>
          </w:p>
        </w:tc>
        <w:tc>
          <w:tcPr>
            <w:tcW w:type="dxa" w:w="2351"/>
            <w:shd w:val="clear" w:color="auto" w:fill="F8F9FA"/>
          </w:tcPr>
          <w:p>
            <w:r>
              <w:t>Head of IT Infrastructure</w:t>
            </w:r>
          </w:p>
        </w:tc>
        <w:tc>
          <w:tcPr>
            <w:tcW w:type="dxa" w:w="2351"/>
            <w:shd w:val="clear" w:color="auto" w:fill="F8F9FA"/>
          </w:tcPr>
          <w:p>
            <w:r>
              <w:t>555-0120</w:t>
            </w:r>
          </w:p>
        </w:tc>
        <w:tc>
          <w:tcPr>
            <w:tcW w:type="dxa" w:w="2351"/>
            <w:shd w:val="clear" w:color="auto" w:fill="F8F9FA"/>
          </w:tcPr>
          <w:p>
            <w:r>
              <w:t>ithead@company.com</w:t>
            </w:r>
          </w:p>
        </w:tc>
      </w:tr>
      <w:tr>
        <w:tc>
          <w:tcPr>
            <w:tcW w:type="dxa" w:w="2351"/>
            <w:shd w:val="clear" w:color="auto" w:fill="F8F9FA"/>
          </w:tcPr>
          <w:p>
            <w:r>
              <w:t>Communications Lead</w:t>
            </w:r>
          </w:p>
        </w:tc>
        <w:tc>
          <w:tcPr>
            <w:tcW w:type="dxa" w:w="2351"/>
            <w:shd w:val="clear" w:color="auto" w:fill="F8F9FA"/>
          </w:tcPr>
          <w:p>
            <w:r>
              <w:t>Head of Communications</w:t>
            </w:r>
          </w:p>
        </w:tc>
        <w:tc>
          <w:tcPr>
            <w:tcW w:type="dxa" w:w="2351"/>
            <w:shd w:val="clear" w:color="auto" w:fill="F8F9FA"/>
          </w:tcPr>
          <w:p>
            <w:r>
              <w:t>555-0130</w:t>
            </w:r>
          </w:p>
        </w:tc>
        <w:tc>
          <w:tcPr>
            <w:tcW w:type="dxa" w:w="2351"/>
            <w:shd w:val="clear" w:color="auto" w:fill="F8F9FA"/>
          </w:tcPr>
          <w:p>
            <w:r>
              <w:t>comms@company.com</w:t>
            </w:r>
          </w:p>
        </w:tc>
      </w:tr>
      <w:tr>
        <w:tc>
          <w:tcPr>
            <w:tcW w:type="dxa" w:w="2351"/>
            <w:shd w:val="clear" w:color="auto" w:fill="F8F9FA"/>
          </w:tcPr>
          <w:p>
            <w:r>
              <w:t>Facilities/Security Lead</w:t>
            </w:r>
          </w:p>
        </w:tc>
        <w:tc>
          <w:tcPr>
            <w:tcW w:type="dxa" w:w="2351"/>
            <w:shd w:val="clear" w:color="auto" w:fill="F8F9FA"/>
          </w:tcPr>
          <w:p>
            <w:r>
              <w:t>Facilities Manager</w:t>
            </w:r>
          </w:p>
        </w:tc>
        <w:tc>
          <w:tcPr>
            <w:tcW w:type="dxa" w:w="2351"/>
            <w:shd w:val="clear" w:color="auto" w:fill="F8F9FA"/>
          </w:tcPr>
          <w:p>
            <w:r>
              <w:t>555-0140</w:t>
            </w:r>
          </w:p>
        </w:tc>
        <w:tc>
          <w:tcPr>
            <w:tcW w:type="dxa" w:w="2351"/>
            <w:shd w:val="clear" w:color="auto" w:fill="F8F9FA"/>
          </w:tcPr>
          <w:p>
            <w:r>
              <w:t>facilities@company.com</w:t>
            </w:r>
          </w:p>
        </w:tc>
      </w:tr>
    </w:tbl>
    <w:p/>
    <w:p>
      <w:pPr>
        <w:spacing w:before="80" w:after="80"/>
        <w:pBdr>
          <w:bottom w:val="single" w:sz="4" w:space="1" w:color="CCCCCC"/>
        </w:pBdr>
      </w:pPr>
    </w:p>
    <w:p>
      <w:pPr>
        <w:pStyle w:val="Heading1"/>
      </w:pPr>
      <w:r>
        <w:t>Communication Template</w:t>
      </w:r>
    </w:p>
    <w:p>
      <w:r>
        <w:t>To: All Staff</w:t>
      </w:r>
    </w:p>
    <w:p>
      <w:r>
        <w:t>From: Communications Lead</w:t>
      </w:r>
    </w:p>
    <w:p>
      <w:r>
        <w:t>Subject: Update on Telecommunications Outage</w:t>
      </w:r>
    </w:p>
    <w:p>
      <w:r>
        <w:t>Body: We are experiencing a telecommunications outage affecting our call centre operations. Our teams are actively working to resolve the issue. Please be assured that customer service is a top priority, and we are implementing backup measures to maintain operations. Further updates will follow.</w:t>
      </w:r>
    </w:p>
    <w:p>
      <w:r>
        <w:t>Authorises: Communications Lead</w:t>
      </w:r>
    </w:p>
    <w:p>
      <w:pPr>
        <w:spacing w:before="80" w:after="80"/>
        <w:pBdr>
          <w:bottom w:val="single" w:sz="4" w:space="1" w:color="CCCCCC"/>
        </w:pBdr>
      </w:pPr>
    </w:p>
    <w:p>
      <w:pPr>
        <w:pStyle w:val="Heading1"/>
      </w:pPr>
      <w:r>
        <w:t>Escalation Path</w:t>
      </w:r>
    </w:p>
    <w:p>
      <w:pPr>
        <w:pStyle w:val="ListBullet"/>
      </w:pPr>
      <w:r>
        <w:t>1. Operations Lead notifies Plan Owner if outage persists beyond 15 minutes via phone.</w:t>
      </w:r>
    </w:p>
    <w:p>
      <w:pPr>
        <w:pStyle w:val="ListBullet"/>
      </w:pPr>
      <w:r>
        <w:t>2. Plan Owner convenes Crisis Management Team if outage exceeds 30 minutes.</w:t>
      </w:r>
    </w:p>
    <w:p>
      <w:pPr>
        <w:pStyle w:val="ListBullet"/>
      </w:pPr>
      <w:r>
        <w:t>3. IT/Technology Lead escalates to telecommunications provider management if no resolution in 1 hour.</w:t>
      </w:r>
    </w:p>
    <w:p>
      <w:pPr>
        <w:pStyle w:val="ListBullet"/>
      </w:pPr>
      <w:r>
        <w:t>4. Communications Lead escalates to Executive Team if customer impact increases.</w:t>
      </w:r>
    </w:p>
    <w:p>
      <w:pPr>
        <w:spacing w:before="80" w:after="80"/>
        <w:pBdr>
          <w:bottom w:val="single" w:sz="4" w:space="1" w:color="CCCCCC"/>
        </w:pBdr>
      </w:pPr>
    </w:p>
    <w:p>
      <w:pPr>
        <w:pStyle w:val="Heading1"/>
      </w:pPr>
      <w:r>
        <w:t>Success Criteria</w:t>
      </w:r>
    </w:p>
    <w:p>
      <w:pPr>
        <w:pStyle w:val="ListBullet"/>
      </w:pPr>
      <w:r>
        <w:t>Call centre operations restored to 80% capacity within 4-hour RTO.</w:t>
      </w:r>
    </w:p>
    <w:p>
      <w:pPr>
        <w:pStyle w:val="ListBullet"/>
      </w:pPr>
      <w:r>
        <w:t>Customer inquiries handled within 1-hour RPO during the outage.</w:t>
      </w:r>
    </w:p>
    <w:p>
      <w:pPr>
        <w:pStyle w:val="ListBullet"/>
      </w:pPr>
      <w:r>
        <w:t>Stakeholder communication updates issued within 30 minutes of each major development.</w:t>
      </w:r>
    </w:p>
    <w:p>
      <w:pPr>
        <w:spacing w:before="80" w:after="80"/>
        <w:pBdr>
          <w:bottom w:val="single" w:sz="4" w:space="1" w:color="CCCCCC"/>
        </w:pBdr>
      </w:pPr>
    </w:p>
    <w:p>
      <w:pPr>
        <w:pStyle w:val="Heading1"/>
      </w:pPr>
      <w:r>
        <w:t>Revision Log</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0D6EFD"/>
          </w:tcPr>
          <w:p>
            <w:r>
              <w:rPr>
                <w:b/>
                <w:color w:val="FFFFFF"/>
                <w:sz w:val="18"/>
              </w:rPr>
              <w:t>Version</w:t>
            </w:r>
          </w:p>
        </w:tc>
        <w:tc>
          <w:tcPr>
            <w:tcW w:type="dxa" w:w="3135"/>
            <w:shd w:val="clear" w:color="auto" w:fill="0D6EFD"/>
          </w:tcPr>
          <w:p>
            <w:r>
              <w:rPr>
                <w:b/>
                <w:color w:val="FFFFFF"/>
                <w:sz w:val="18"/>
              </w:rPr>
              <w:t>Date</w:t>
            </w:r>
          </w:p>
        </w:tc>
        <w:tc>
          <w:tcPr>
            <w:tcW w:type="dxa" w:w="3135"/>
            <w:shd w:val="clear" w:color="auto" w:fill="0D6EFD"/>
          </w:tcPr>
          <w:p>
            <w:r>
              <w:rPr>
                <w:b/>
                <w:color w:val="FFFFFF"/>
                <w:sz w:val="18"/>
              </w:rPr>
              <w:t>Summary</w:t>
            </w:r>
          </w:p>
        </w:tc>
      </w:tr>
      <w:tr>
        <w:tc>
          <w:tcPr>
            <w:tcW w:type="dxa" w:w="3135"/>
            <w:shd w:val="clear" w:color="auto" w:fill="F8F9FA"/>
          </w:tcPr>
          <w:p>
            <w:r>
              <w:t>1.1</w:t>
            </w:r>
          </w:p>
        </w:tc>
        <w:tc>
          <w:tcPr>
            <w:tcW w:type="dxa" w:w="3135"/>
            <w:shd w:val="clear" w:color="auto" w:fill="F8F9FA"/>
          </w:tcPr>
          <w:p>
            <w:r>
              <w:t>—</w:t>
            </w:r>
          </w:p>
        </w:tc>
        <w:tc>
          <w:tcPr>
            <w:tcW w:type="dxa" w:w="3135"/>
            <w:shd w:val="clear" w:color="auto" w:fill="F8F9FA"/>
          </w:tcPr>
          <w:p>
            <w:r>
              <w:t>—</w:t>
            </w:r>
          </w:p>
        </w:tc>
      </w:tr>
    </w:tbl>
    <w:p/>
    <w:sectPr w:rsidR="00FC693F" w:rsidRPr="0006063C" w:rsidSect="00034616">
      <w:footerReference w:type="default" r:id="rId9"/>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6"/>
      </w:rPr>
      <w:t>CONFIDENTIAL  |  Customer Service – Business Continuity Plan  |  Generated by BC Studio on 17 July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