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PARTICIPANT BRIEF</w:t>
            </w:r>
          </w:p>
        </w:tc>
      </w:tr>
    </w:tbl>
    <w:p/>
    <w:p>
      <w:pPr>
        <w:spacing w:before="160" w:after="80"/>
      </w:pPr>
      <w:r>
        <w:rPr>
          <w:b/>
          <w:color w:val="0D1B2A"/>
          <w:sz w:val="52"/>
        </w:rPr>
        <w:t>Severely damaged pipes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Internal Use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16 October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SCOPE</w:t>
            </w:r>
          </w:p>
        </w:tc>
      </w:tr>
    </w:tbl>
    <w:p>
      <w:pPr>
        <w:spacing w:after="40"/>
      </w:pPr>
    </w:p>
    <w:p>
      <w:pPr>
        <w:spacing w:after="80"/>
      </w:pPr>
      <w:r>
        <w:rPr>
          <w:color w:val="1A1A1A"/>
          <w:sz w:val="20"/>
        </w:rPr>
        <w:t>The aim of this exercise is: To evaluate Barwon Water's ability to effectively respond to and recover from a severe infrastructure failure involving damaged pipes, ensuring minimal disruption to critical water supply and wastewater management services.</w:t>
      </w:r>
    </w:p>
    <w:p>
      <w:pPr>
        <w:spacing w:after="80"/>
      </w:pPr>
      <w:r>
        <w:rPr>
          <w:color w:val="1A1A1A"/>
          <w:sz w:val="20"/>
        </w:rPr>
        <w:t>This Participant Brief provides the background information, scenario context, exercise objectives, ground rules, and timeline required for effective participation. Please read this document in full before the exercise commences.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DETAILS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Severely damaged pipes</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Sector / Context</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Scenario Name</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Scheduled Date</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No-Fault Principle</w:t>
            </w:r>
          </w:p>
        </w:tc>
        <w:tc>
          <w:tcPr>
            <w:tcW w:type="dxa" w:w="6236"/>
            <w:shd w:val="clear" w:color="auto" w:fill="F0F2F4"/>
          </w:tcPr>
          <w:p>
            <w:pPr>
              <w:jc w:val="left"/>
            </w:pPr>
            <w:r/>
            <w:r>
              <w:rPr>
                <w:b w:val="0"/>
                <w:color w:val="1A1A1A"/>
                <w:sz w:val="20"/>
              </w:rPr>
              <w:t>Yes — this is a learning exercise. There are no wrong answers.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AUTHORITY</w:t>
            </w:r>
          </w:p>
        </w:tc>
      </w:tr>
    </w:tbl>
    <w:p>
      <w:pPr>
        <w:spacing w:after="40"/>
      </w:pPr>
    </w:p>
    <w:p>
      <w:pPr>
        <w:spacing w:after="80"/>
      </w:pPr>
      <w:r>
        <w:rPr>
          <w:color w:val="1A1A1A"/>
          <w:sz w:val="20"/>
        </w:rPr>
        <w:t>This exercise is conducted under the organisation's Business Continuity Management (BCM) programme and is consistent with the requirements of ISO 22301:2019, the BCI Good Practice Guidelines (GPG 2018 PP6), and applicable regulatory obligations. The exercise has been approved by the BCM programme sponsor and forms part of the annual validation programme.</w:t>
      </w:r>
    </w:p>
    <w:p>
      <w:pPr>
        <w:spacing w:after="80"/>
      </w:pPr>
      <w:r>
        <w:rPr>
          <w:color w:val="1A1A1A"/>
          <w:sz w:val="20"/>
        </w:rPr>
        <w:t>Risk / threat alignment: Risk that organisation is unable to respond to critical infrastructure failing (severely damaged pipes)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p>
      <w:pPr>
        <w:spacing w:after="80"/>
      </w:pPr>
      <w:r>
        <w:rPr>
          <w:color w:val="1A1A1A"/>
          <w:sz w:val="20"/>
        </w:rPr>
        <w:t>The following roles apply during this exercise. All participants are expected to act within their designated role throughout the scenario.</w:t>
      </w: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Role</w:t>
            </w:r>
          </w:p>
        </w:tc>
        <w:tc>
          <w:tcPr>
            <w:tcW w:type="dxa" w:w="5386"/>
            <w:shd w:val="clear" w:color="auto" w:fill="0D1B2A"/>
          </w:tcPr>
          <w:p>
            <w:pPr>
              <w:jc w:val="left"/>
            </w:pPr>
            <w:r/>
            <w:r>
              <w:rPr>
                <w:b/>
                <w:color w:val="FFFFFF"/>
                <w:sz w:val="18"/>
              </w:rPr>
              <w:t>Responsibility</w:t>
            </w:r>
          </w:p>
        </w:tc>
        <w:tc>
          <w:tcPr>
            <w:tcW w:type="dxa" w:w="1417"/>
            <w:shd w:val="clear" w:color="auto" w:fill="0D1B2A"/>
          </w:tcPr>
          <w:p>
            <w:pPr>
              <w:jc w:val="left"/>
            </w:pPr>
            <w:r/>
            <w:r>
              <w:rPr>
                <w:b/>
                <w:color w:val="FFFFFF"/>
                <w:sz w:val="18"/>
              </w:rPr>
              <w:t>Type</w:t>
            </w:r>
          </w:p>
        </w:tc>
      </w:tr>
      <w:tr>
        <w:tc>
          <w:tcPr>
            <w:tcW w:type="dxa" w:w="2551"/>
          </w:tcPr>
          <w:p>
            <w:pPr>
              <w:jc w:val="left"/>
            </w:pPr>
            <w:r/>
            <w:r>
              <w:rPr>
                <w:b w:val="0"/>
                <w:color w:val="1A1A1A"/>
                <w:sz w:val="18"/>
              </w:rPr>
              <w:t>Exercise Facilitator</w:t>
            </w:r>
          </w:p>
        </w:tc>
        <w:tc>
          <w:tcPr>
            <w:tcW w:type="dxa" w:w="5386"/>
          </w:tcPr>
          <w:p>
            <w:pPr>
              <w:jc w:val="left"/>
            </w:pPr>
            <w:r/>
            <w:r>
              <w:rPr>
                <w:b w:val="0"/>
                <w:color w:val="1A1A1A"/>
                <w:sz w:val="18"/>
              </w:rPr>
              <w:t>Leads the exercise; delivers injects; manages timing; ensures learning outcomes</w:t>
            </w:r>
          </w:p>
        </w:tc>
        <w:tc>
          <w:tcPr>
            <w:tcW w:type="dxa" w:w="1417"/>
          </w:tcPr>
          <w:p>
            <w:pPr>
              <w:jc w:val="left"/>
            </w:pPr>
            <w:r/>
            <w:r>
              <w:rPr>
                <w:b w:val="0"/>
                <w:color w:val="1A1A1A"/>
                <w:sz w:val="18"/>
              </w:rPr>
              <w:t>Facilitator</w:t>
            </w:r>
          </w:p>
        </w:tc>
      </w:tr>
      <w:tr>
        <w:tc>
          <w:tcPr>
            <w:tcW w:type="dxa" w:w="2551"/>
            <w:shd w:val="clear" w:color="auto" w:fill="F0F2F4"/>
          </w:tcPr>
          <w:p>
            <w:pPr>
              <w:jc w:val="left"/>
            </w:pPr>
            <w:r/>
            <w:r>
              <w:rPr>
                <w:b w:val="0"/>
                <w:color w:val="1A1A1A"/>
                <w:sz w:val="18"/>
              </w:rPr>
              <w:t>Exercise Observer</w:t>
            </w:r>
          </w:p>
        </w:tc>
        <w:tc>
          <w:tcPr>
            <w:tcW w:type="dxa" w:w="5386"/>
            <w:shd w:val="clear" w:color="auto" w:fill="F0F2F4"/>
          </w:tcPr>
          <w:p>
            <w:pPr>
              <w:jc w:val="left"/>
            </w:pPr>
            <w:r/>
            <w:r>
              <w:rPr>
                <w:b w:val="0"/>
                <w:color w:val="1A1A1A"/>
                <w:sz w:val="18"/>
              </w:rPr>
              <w:t>Observes participant behaviours against evaluation criteria; does not participate in decisions</w:t>
            </w:r>
          </w:p>
        </w:tc>
        <w:tc>
          <w:tcPr>
            <w:tcW w:type="dxa" w:w="1417"/>
            <w:shd w:val="clear" w:color="auto" w:fill="F0F2F4"/>
          </w:tcPr>
          <w:p>
            <w:pPr>
              <w:jc w:val="left"/>
            </w:pPr>
            <w:r/>
            <w:r>
              <w:rPr>
                <w:b w:val="0"/>
                <w:color w:val="1A1A1A"/>
                <w:sz w:val="18"/>
              </w:rPr>
              <w:t>Observer</w:t>
            </w:r>
          </w:p>
        </w:tc>
      </w:tr>
      <w:tr>
        <w:tc>
          <w:tcPr>
            <w:tcW w:type="dxa" w:w="2551"/>
          </w:tcPr>
          <w:p>
            <w:pPr>
              <w:jc w:val="left"/>
            </w:pPr>
            <w:r/>
            <w:r>
              <w:rPr>
                <w:b w:val="0"/>
                <w:color w:val="1A1A1A"/>
                <w:sz w:val="18"/>
              </w:rPr>
              <w:t>Participant</w:t>
            </w:r>
          </w:p>
        </w:tc>
        <w:tc>
          <w:tcPr>
            <w:tcW w:type="dxa" w:w="5386"/>
          </w:tcPr>
          <w:p>
            <w:pPr>
              <w:jc w:val="left"/>
            </w:pPr>
            <w:r/>
            <w:r>
              <w:rPr>
                <w:b w:val="0"/>
                <w:color w:val="1A1A1A"/>
                <w:sz w:val="18"/>
              </w:rPr>
              <w:t>Responds to injects in role; applies relevant plans and procedures; engages in discussion</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BCM Programme Owner</w:t>
            </w:r>
          </w:p>
        </w:tc>
        <w:tc>
          <w:tcPr>
            <w:tcW w:type="dxa" w:w="5386"/>
            <w:shd w:val="clear" w:color="auto" w:fill="F0F2F4"/>
          </w:tcPr>
          <w:p>
            <w:pPr>
              <w:jc w:val="left"/>
            </w:pPr>
            <w:r/>
            <w:r>
              <w:rPr>
                <w:b w:val="0"/>
                <w:color w:val="1A1A1A"/>
                <w:sz w:val="18"/>
              </w:rPr>
              <w:t>Exercise sponsor; receives the AAR; owns the improvement register</w:t>
            </w:r>
          </w:p>
        </w:tc>
        <w:tc>
          <w:tcPr>
            <w:tcW w:type="dxa" w:w="1417"/>
            <w:shd w:val="clear" w:color="auto" w:fill="F0F2F4"/>
          </w:tcPr>
          <w:p>
            <w:pPr>
              <w:jc w:val="left"/>
            </w:pPr>
            <w:r/>
            <w:r>
              <w:rPr>
                <w:b w:val="0"/>
                <w:color w:val="1A1A1A"/>
                <w:sz w:val="18"/>
              </w:rPr>
              <w:t>Governance</w:t>
            </w:r>
          </w:p>
        </w:tc>
      </w:tr>
      <w:tr>
        <w:tc>
          <w:tcPr>
            <w:tcW w:type="dxa" w:w="2551"/>
          </w:tcPr>
          <w:p>
            <w:pPr>
              <w:jc w:val="left"/>
            </w:pPr>
            <w:r/>
            <w:r>
              <w:rPr>
                <w:b w:val="0"/>
                <w:color w:val="1A1A1A"/>
                <w:sz w:val="18"/>
              </w:rPr>
              <w:t>Scribe / Note-taker</w:t>
            </w:r>
          </w:p>
        </w:tc>
        <w:tc>
          <w:tcPr>
            <w:tcW w:type="dxa" w:w="5386"/>
          </w:tcPr>
          <w:p>
            <w:pPr>
              <w:jc w:val="left"/>
            </w:pPr>
            <w:r/>
            <w:r>
              <w:rPr>
                <w:b w:val="0"/>
                <w:color w:val="1A1A1A"/>
                <w:sz w:val="18"/>
              </w:rPr>
              <w:t>Records decisions, actions, and notable observations throughout the exercise</w:t>
            </w:r>
          </w:p>
        </w:tc>
        <w:tc>
          <w:tcPr>
            <w:tcW w:type="dxa" w:w="1417"/>
          </w:tcPr>
          <w:p>
            <w:pPr>
              <w:jc w:val="left"/>
            </w:pPr>
            <w:r/>
            <w:r>
              <w:rPr>
                <w:b w:val="0"/>
                <w:color w:val="1A1A1A"/>
                <w:sz w:val="18"/>
              </w:rPr>
              <w:t>Support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OBSERVER GUIDANCE: </w:t>
            </w:r>
            <w:r>
              <w:rPr>
                <w:color w:val="1A1A1A"/>
                <w:sz w:val="18"/>
              </w:rPr>
              <w:t>Observers must not prompt, assist, or intervene during the exercise. Their role is to record observations for the hot debrief and After Action Report.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LEARNING OBJECTIVES</w:t>
            </w:r>
          </w:p>
        </w:tc>
      </w:tr>
    </w:tbl>
    <w:p>
      <w:pPr>
        <w:spacing w:after="40"/>
      </w:pPr>
    </w:p>
    <w:p>
      <w:pPr>
        <w:spacing w:after="80"/>
      </w:pPr>
      <w:r>
        <w:rPr>
          <w:color w:val="1A1A1A"/>
          <w:sz w:val="20"/>
        </w:rPr>
        <w:t>The following objectives define what this exercise is designed to test and validate. Success criteria are defined for each objective and will be assessed in the After Action Report.</w:t>
      </w:r>
    </w:p>
    <w:tbl>
      <w:tblPr>
        <w:tblStyle w:val="TableGrid"/>
        <w:tblW w:type="auto" w:w="0"/>
        <w:tblLook w:firstColumn="1" w:firstRow="1" w:lastColumn="0" w:lastRow="0" w:noHBand="0" w:noVBand="1" w:val="04A0"/>
      </w:tblPr>
      <w:tblGrid>
        <w:gridCol w:w="2351"/>
        <w:gridCol w:w="2351"/>
        <w:gridCol w:w="2351"/>
        <w:gridCol w:w="2351"/>
      </w:tblGrid>
      <w:tr>
        <w:tc>
          <w:tcPr>
            <w:tcW w:type="dxa" w:w="454"/>
            <w:shd w:val="clear" w:color="auto" w:fill="0D1B2A"/>
          </w:tcPr>
          <w:p>
            <w:pPr>
              <w:jc w:val="left"/>
            </w:pPr>
            <w:r/>
            <w:r>
              <w:rPr>
                <w:b/>
                <w:color w:val="FFFFFF"/>
                <w:sz w:val="18"/>
              </w:rPr>
              <w:t>#</w:t>
            </w:r>
          </w:p>
        </w:tc>
        <w:tc>
          <w:tcPr>
            <w:tcW w:type="dxa" w:w="3685"/>
            <w:shd w:val="clear" w:color="auto" w:fill="0D1B2A"/>
          </w:tcPr>
          <w:p>
            <w:pPr>
              <w:jc w:val="left"/>
            </w:pPr>
            <w:r/>
            <w:r>
              <w:rPr>
                <w:b/>
                <w:color w:val="FFFFFF"/>
                <w:sz w:val="18"/>
              </w:rPr>
              <w:t>Objective</w:t>
            </w:r>
          </w:p>
        </w:tc>
        <w:tc>
          <w:tcPr>
            <w:tcW w:type="dxa" w:w="1984"/>
            <w:shd w:val="clear" w:color="auto" w:fill="0D1B2A"/>
          </w:tcPr>
          <w:p>
            <w:pPr>
              <w:jc w:val="left"/>
            </w:pPr>
            <w:r/>
            <w:r>
              <w:rPr>
                <w:b/>
                <w:color w:val="FFFFFF"/>
                <w:sz w:val="18"/>
              </w:rPr>
              <w:t>Capability Area</w:t>
            </w:r>
          </w:p>
        </w:tc>
        <w:tc>
          <w:tcPr>
            <w:tcW w:type="dxa" w:w="3231"/>
            <w:shd w:val="clear" w:color="auto" w:fill="0D1B2A"/>
          </w:tcPr>
          <w:p>
            <w:pPr>
              <w:jc w:val="left"/>
            </w:pPr>
            <w:r/>
            <w:r>
              <w:rPr>
                <w:b/>
                <w:color w:val="FFFFFF"/>
                <w:sz w:val="18"/>
              </w:rPr>
              <w:t>Success Criteria</w:t>
            </w:r>
          </w:p>
        </w:tc>
      </w:tr>
      <w:tr>
        <w:tc>
          <w:tcPr>
            <w:tcW w:type="dxa" w:w="454"/>
          </w:tcPr>
          <w:p>
            <w:pPr>
              <w:jc w:val="left"/>
            </w:pPr>
            <w:r/>
            <w:r>
              <w:rPr>
                <w:b w:val="0"/>
                <w:color w:val="1A1A1A"/>
                <w:sz w:val="18"/>
              </w:rPr>
              <w:t>1</w:t>
            </w:r>
          </w:p>
        </w:tc>
        <w:tc>
          <w:tcPr>
            <w:tcW w:type="dxa" w:w="3685"/>
          </w:tcPr>
          <w:p>
            <w:pPr>
              <w:jc w:val="left"/>
            </w:pPr>
            <w:r/>
            <w:r>
              <w:rPr>
                <w:b w:val="0"/>
                <w:color w:val="1A1A1A"/>
                <w:sz w:val="18"/>
              </w:rPr>
              <w:t>Test the effectiveness of the Crisis Management Team's activation and initial response to the infrastructure failure.</w:t>
            </w:r>
          </w:p>
        </w:tc>
        <w:tc>
          <w:tcPr>
            <w:tcW w:type="dxa" w:w="1984"/>
          </w:tcPr>
          <w:p>
            <w:pPr>
              <w:jc w:val="left"/>
            </w:pPr>
            <w:r/>
            <w:r>
              <w:rPr>
                <w:b w:val="0"/>
                <w:color w:val="1A1A1A"/>
                <w:sz w:val="18"/>
              </w:rPr>
              <w:t>Incident Escalation</w:t>
            </w:r>
          </w:p>
        </w:tc>
        <w:tc>
          <w:tcPr>
            <w:tcW w:type="dxa" w:w="3231"/>
          </w:tcPr>
          <w:p>
            <w:pPr>
              <w:jc w:val="left"/>
            </w:pPr>
            <w:r/>
            <w:r>
              <w:rPr>
                <w:b w:val="0"/>
                <w:color w:val="1A1A1A"/>
                <w:sz w:val="18"/>
              </w:rPr>
              <w:t>CMT is activated within 30 minutes of incident notification; initial response actions are aligned with the crisis management plan.</w:t>
            </w:r>
          </w:p>
        </w:tc>
      </w:tr>
      <w:tr>
        <w:tc>
          <w:tcPr>
            <w:tcW w:type="dxa" w:w="454"/>
            <w:shd w:val="clear" w:color="auto" w:fill="F0F2F4"/>
          </w:tcPr>
          <w:p>
            <w:pPr>
              <w:jc w:val="left"/>
            </w:pPr>
            <w:r/>
            <w:r>
              <w:rPr>
                <w:b w:val="0"/>
                <w:color w:val="1A1A1A"/>
                <w:sz w:val="18"/>
              </w:rPr>
              <w:t>2</w:t>
            </w:r>
          </w:p>
        </w:tc>
        <w:tc>
          <w:tcPr>
            <w:tcW w:type="dxa" w:w="3685"/>
            <w:shd w:val="clear" w:color="auto" w:fill="F0F2F4"/>
          </w:tcPr>
          <w:p>
            <w:pPr>
              <w:jc w:val="left"/>
            </w:pPr>
            <w:r/>
            <w:r>
              <w:rPr>
                <w:b w:val="0"/>
                <w:color w:val="1A1A1A"/>
                <w:sz w:val="18"/>
              </w:rPr>
              <w:t>Validate the communication protocols and effectiveness of internal and external communications during the incident.</w:t>
            </w:r>
          </w:p>
        </w:tc>
        <w:tc>
          <w:tcPr>
            <w:tcW w:type="dxa" w:w="1984"/>
            <w:shd w:val="clear" w:color="auto" w:fill="F0F2F4"/>
          </w:tcPr>
          <w:p>
            <w:pPr>
              <w:jc w:val="left"/>
            </w:pPr>
            <w:r/>
            <w:r>
              <w:rPr>
                <w:b w:val="0"/>
                <w:color w:val="1A1A1A"/>
                <w:sz w:val="18"/>
              </w:rPr>
              <w:t>Crisis Communications</w:t>
            </w:r>
          </w:p>
        </w:tc>
        <w:tc>
          <w:tcPr>
            <w:tcW w:type="dxa" w:w="3231"/>
            <w:shd w:val="clear" w:color="auto" w:fill="F0F2F4"/>
          </w:tcPr>
          <w:p>
            <w:pPr>
              <w:jc w:val="left"/>
            </w:pPr>
            <w:r/>
            <w:r>
              <w:rPr>
                <w:b w:val="0"/>
                <w:color w:val="1A1A1A"/>
                <w:sz w:val="18"/>
              </w:rPr>
              <w:t>Communication to stakeholders, including regulators and customers, is initiated within predefined timeframes, with messages consistent and factual.</w:t>
            </w:r>
          </w:p>
        </w:tc>
      </w:tr>
      <w:tr>
        <w:tc>
          <w:tcPr>
            <w:tcW w:type="dxa" w:w="454"/>
          </w:tcPr>
          <w:p>
            <w:pPr>
              <w:jc w:val="left"/>
            </w:pPr>
            <w:r/>
            <w:r>
              <w:rPr>
                <w:b w:val="0"/>
                <w:color w:val="1A1A1A"/>
                <w:sz w:val="18"/>
              </w:rPr>
              <w:t>3</w:t>
            </w:r>
          </w:p>
        </w:tc>
        <w:tc>
          <w:tcPr>
            <w:tcW w:type="dxa" w:w="3685"/>
          </w:tcPr>
          <w:p>
            <w:pPr>
              <w:jc w:val="left"/>
            </w:pPr>
            <w:r/>
            <w:r>
              <w:rPr>
                <w:b w:val="0"/>
                <w:color w:val="1A1A1A"/>
                <w:sz w:val="18"/>
              </w:rPr>
              <w:t>Assess the ability of the Business Recovery Teams to implement continuity and recovery plans effectively.</w:t>
            </w:r>
          </w:p>
        </w:tc>
        <w:tc>
          <w:tcPr>
            <w:tcW w:type="dxa" w:w="1984"/>
          </w:tcPr>
          <w:p>
            <w:pPr>
              <w:jc w:val="left"/>
            </w:pPr>
            <w:r/>
            <w:r>
              <w:rPr>
                <w:b w:val="0"/>
                <w:color w:val="1A1A1A"/>
                <w:sz w:val="18"/>
              </w:rPr>
              <w:t>Business Continuity Activation</w:t>
            </w:r>
          </w:p>
        </w:tc>
        <w:tc>
          <w:tcPr>
            <w:tcW w:type="dxa" w:w="3231"/>
          </w:tcPr>
          <w:p>
            <w:pPr>
              <w:jc w:val="left"/>
            </w:pPr>
            <w:r/>
            <w:r>
              <w:rPr>
                <w:b w:val="0"/>
                <w:color w:val="1A1A1A"/>
                <w:sz w:val="18"/>
              </w:rPr>
              <w:t>Continuity plans are executed within the defined Recovery Time Objective (RTO) for critical services, and recovery actions are documented.</w:t>
            </w:r>
          </w:p>
        </w:tc>
      </w:tr>
      <w:tr>
        <w:tc>
          <w:tcPr>
            <w:tcW w:type="dxa" w:w="454"/>
            <w:shd w:val="clear" w:color="auto" w:fill="F0F2F4"/>
          </w:tcPr>
          <w:p>
            <w:pPr>
              <w:jc w:val="left"/>
            </w:pPr>
            <w:r/>
            <w:r>
              <w:rPr>
                <w:b w:val="0"/>
                <w:color w:val="1A1A1A"/>
                <w:sz w:val="18"/>
              </w:rPr>
              <w:t>4</w:t>
            </w:r>
          </w:p>
        </w:tc>
        <w:tc>
          <w:tcPr>
            <w:tcW w:type="dxa" w:w="3685"/>
            <w:shd w:val="clear" w:color="auto" w:fill="F0F2F4"/>
          </w:tcPr>
          <w:p>
            <w:pPr>
              <w:jc w:val="left"/>
            </w:pPr>
            <w:r/>
            <w:r>
              <w:rPr>
                <w:b w:val="0"/>
                <w:color w:val="1A1A1A"/>
                <w:sz w:val="18"/>
              </w:rPr>
              <w:t>Evaluate decision-making processes and clarity of role responsibilities during the incident.</w:t>
            </w:r>
          </w:p>
        </w:tc>
        <w:tc>
          <w:tcPr>
            <w:tcW w:type="dxa" w:w="1984"/>
            <w:shd w:val="clear" w:color="auto" w:fill="F0F2F4"/>
          </w:tcPr>
          <w:p>
            <w:pPr>
              <w:jc w:val="left"/>
            </w:pPr>
            <w:r/>
            <w:r>
              <w:rPr>
                <w:b w:val="0"/>
                <w:color w:val="1A1A1A"/>
                <w:sz w:val="18"/>
              </w:rPr>
              <w:t>Decision-Making</w:t>
            </w:r>
          </w:p>
        </w:tc>
        <w:tc>
          <w:tcPr>
            <w:tcW w:type="dxa" w:w="3231"/>
            <w:shd w:val="clear" w:color="auto" w:fill="F0F2F4"/>
          </w:tcPr>
          <w:p>
            <w:pPr>
              <w:jc w:val="left"/>
            </w:pPr>
            <w:r/>
            <w:r>
              <w:rPr>
                <w:b w:val="0"/>
                <w:color w:val="1A1A1A"/>
                <w:sz w:val="18"/>
              </w:rPr>
              <w:t>Decisions are made within appropriate authority levels, with clear documentation of decision rationale and role responsibilities.</w:t>
            </w:r>
          </w:p>
        </w:tc>
      </w:tr>
      <w:tr>
        <w:tc>
          <w:tcPr>
            <w:tcW w:type="dxa" w:w="454"/>
          </w:tcPr>
          <w:p>
            <w:pPr>
              <w:jc w:val="left"/>
            </w:pPr>
            <w:r/>
            <w:r>
              <w:rPr>
                <w:b w:val="0"/>
                <w:color w:val="1A1A1A"/>
                <w:sz w:val="18"/>
              </w:rPr>
              <w:t>5</w:t>
            </w:r>
          </w:p>
        </w:tc>
        <w:tc>
          <w:tcPr>
            <w:tcW w:type="dxa" w:w="3685"/>
          </w:tcPr>
          <w:p>
            <w:pPr>
              <w:jc w:val="left"/>
            </w:pPr>
            <w:r/>
            <w:r>
              <w:rPr>
                <w:b w:val="0"/>
                <w:color w:val="1A1A1A"/>
                <w:sz w:val="18"/>
              </w:rPr>
              <w:t>Confirm compliance with regulatory and legal obligations related to incident notification and response.</w:t>
            </w:r>
          </w:p>
        </w:tc>
        <w:tc>
          <w:tcPr>
            <w:tcW w:type="dxa" w:w="1984"/>
          </w:tcPr>
          <w:p>
            <w:pPr>
              <w:jc w:val="left"/>
            </w:pPr>
            <w:r/>
            <w:r>
              <w:rPr>
                <w:b w:val="0"/>
                <w:color w:val="1A1A1A"/>
                <w:sz w:val="18"/>
              </w:rPr>
              <w:t>Regulatory And Legal</w:t>
            </w:r>
          </w:p>
        </w:tc>
        <w:tc>
          <w:tcPr>
            <w:tcW w:type="dxa" w:w="3231"/>
          </w:tcPr>
          <w:p>
            <w:pPr>
              <w:jc w:val="left"/>
            </w:pPr>
            <w:r/>
            <w:r>
              <w:rPr>
                <w:b w:val="0"/>
                <w:color w:val="1A1A1A"/>
                <w:sz w:val="18"/>
              </w:rPr>
              <w:t>All regulatory notifications are completed within the prescribed timeframes, and compliance with relevant regional regulations is maintained.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BACKGROUND</w:t>
            </w:r>
          </w:p>
        </w:tc>
      </w:tr>
    </w:tbl>
    <w:p>
      <w:pPr>
        <w:spacing w:after="40"/>
      </w:pPr>
    </w:p>
    <w:p>
      <w:pPr>
        <w:spacing w:after="80"/>
      </w:pPr>
      <w:r>
        <w:rPr>
          <w:color w:val="1A1A1A"/>
          <w:sz w:val="20"/>
        </w:rPr>
        <w:t>A severe weather event has caused unprecedented rainfall in the region served by Barwon Water. The excessive rain has led to the saturation of the ground, resulting in significant pressure on the underground water pipes. In the early morning hours, a critical section of the main water distribution pipes located near the regional pumping station sustains severe damage, leading to a major leak. This damages the flow of water supply to several key communities and industrial clients. The sudden loss of pressure is detected by the central control system, triggering alarms and alerts within the operations center. As the day progresses, the damage worsens, leading to potential contamination risks and heightened concerns over water quality. The situation requires immediate crisis management to ensure water supply continuity, manage public communication, and meet regulatory reporting obligations.</w:t>
      </w:r>
    </w:p>
    <w:p>
      <w:pPr>
        <w:spacing w:before="200" w:after="40"/>
      </w:pPr>
      <w:r>
        <w:rPr>
          <w:b/>
          <w:color w:val="00447A"/>
          <w:sz w:val="22"/>
        </w:rPr>
        <w:t>Trigger Event</w:t>
      </w:r>
    </w:p>
    <w:p>
      <w:pPr>
        <w:spacing w:after="80"/>
      </w:pPr>
      <w:r>
        <w:rPr>
          <w:color w:val="1A1A1A"/>
          <w:sz w:val="20"/>
        </w:rPr>
        <w:t>At 4:30 AM, the central operations system detects a significant drop in water pressure in the main pipeline servicing several key areas. Initial manual checks confirm the presence of a major leak due to pipe damage caused by ground saturation.</w:t>
      </w:r>
    </w:p>
    <w:p>
      <w:pPr>
        <w:spacing w:before="200" w:after="40"/>
      </w:pPr>
      <w:r>
        <w:rPr>
          <w:b/>
          <w:color w:val="00447A"/>
          <w:sz w:val="22"/>
        </w:rPr>
        <w:t>What Is Known at Exercise Start</w:t>
      </w:r>
    </w:p>
    <w:p>
      <w:pPr>
        <w:spacing w:after="80"/>
      </w:pPr>
      <w:r>
        <w:rPr>
          <w:color w:val="1A1A1A"/>
          <w:sz w:val="20"/>
        </w:rPr>
        <w:t>- Water pressure has dropped significantly in the main pipeline.</w:t>
      </w:r>
    </w:p>
    <w:p>
      <w:pPr>
        <w:spacing w:after="80"/>
      </w:pPr>
      <w:r>
        <w:rPr>
          <w:color w:val="1A1A1A"/>
          <w:sz w:val="20"/>
        </w:rPr>
        <w:t>- A major leak is confirmed near the regional pumping station.</w:t>
      </w:r>
    </w:p>
    <w:p>
      <w:pPr>
        <w:spacing w:after="80"/>
      </w:pPr>
      <w:r>
        <w:rPr>
          <w:color w:val="1A1A1A"/>
          <w:sz w:val="20"/>
        </w:rPr>
        <w:t>- Initial impact on water supply to multiple communities is evident.</w:t>
      </w:r>
    </w:p>
    <w:p>
      <w:pPr>
        <w:spacing w:after="80"/>
      </w:pPr>
      <w:r>
        <w:rPr>
          <w:color w:val="1A1A1A"/>
          <w:sz w:val="20"/>
        </w:rPr>
        <w:t>- Crisis Management Team is activated.</w:t>
      </w:r>
    </w:p>
    <w:p>
      <w:pPr>
        <w:spacing w:before="200" w:after="40"/>
      </w:pPr>
      <w:r>
        <w:rPr>
          <w:b/>
          <w:color w:val="00447A"/>
          <w:sz w:val="22"/>
        </w:rPr>
        <w:t>What Remains Unknown</w:t>
      </w:r>
    </w:p>
    <w:p>
      <w:pPr>
        <w:spacing w:after="80"/>
      </w:pPr>
      <w:r>
        <w:rPr>
          <w:color w:val="1A1A1A"/>
          <w:sz w:val="20"/>
        </w:rPr>
        <w:t>- The full extent of the pipe damage and potential need for repairs.</w:t>
      </w:r>
    </w:p>
    <w:p>
      <w:pPr>
        <w:spacing w:after="80"/>
      </w:pPr>
      <w:r>
        <w:rPr>
          <w:color w:val="1A1A1A"/>
          <w:sz w:val="20"/>
        </w:rPr>
        <w:t>- The impact on water quality and potential contamination.</w:t>
      </w:r>
    </w:p>
    <w:p>
      <w:pPr>
        <w:spacing w:after="80"/>
      </w:pPr>
      <w:r>
        <w:rPr>
          <w:color w:val="1A1A1A"/>
          <w:sz w:val="20"/>
        </w:rPr>
        <w:t>- The time required to restore normal water supply.</w:t>
      </w:r>
    </w:p>
    <w:p>
      <w:pPr>
        <w:spacing w:after="80"/>
      </w:pPr>
      <w:r>
        <w:rPr>
          <w:color w:val="1A1A1A"/>
          <w:sz w:val="20"/>
        </w:rPr>
        <w:t>- The root cause of the pipe failure.</w:t>
      </w:r>
    </w:p>
    <w:p>
      <w:pPr>
        <w:spacing w:before="200" w:after="40"/>
      </w:pPr>
      <w:r>
        <w:rPr>
          <w:b/>
          <w:color w:val="00447A"/>
          <w:sz w:val="22"/>
        </w:rPr>
        <w:t>Exercise Assumptions and Artificialities</w:t>
      </w:r>
    </w:p>
    <w:p>
      <w:pPr>
        <w:spacing w:after="80"/>
      </w:pPr>
      <w:r>
        <w:rPr>
          <w:color w:val="1A1A1A"/>
          <w:sz w:val="20"/>
        </w:rPr>
        <w:t>- The exercise assumes no actual environmental hazard, and all communications are simulated.</w:t>
      </w:r>
    </w:p>
    <w:p>
      <w:pPr>
        <w:spacing w:after="80"/>
      </w:pPr>
      <w:r>
        <w:rPr>
          <w:color w:val="1A1A1A"/>
          <w:sz w:val="20"/>
        </w:rPr>
        <w:t>- External stakeholders such as regulatory bodies and media are simulated by the exercise control team.</w:t>
      </w:r>
    </w:p>
    <w:p>
      <w:pPr>
        <w:spacing w:after="80"/>
      </w:pPr>
      <w:r>
        <w:rPr>
          <w:color w:val="1A1A1A"/>
          <w:sz w:val="20"/>
        </w:rPr>
        <w:t>- All technical fixes are artificially accelerated for exercise purposes.</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Assumptions represent simplifications made to enable the exercise to run effectively. They do not reflect operational weaknesses.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EXERCISE TIMELINE</w:t>
            </w:r>
          </w:p>
        </w:tc>
      </w:tr>
    </w:tbl>
    <w:p>
      <w:pPr>
        <w:spacing w:after="4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Detailed phase timing will be advised by the facilitator at the exercise briefing.</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GROUND RULES</w:t>
            </w:r>
          </w:p>
        </w:tc>
      </w:tr>
    </w:tbl>
    <w:p>
      <w:pPr>
        <w:spacing w:after="40"/>
      </w:pPr>
    </w:p>
    <w:p>
      <w:pPr>
        <w:pStyle w:val="ListBullet"/>
      </w:pPr>
      <w:r>
        <w:rPr>
          <w:color w:val="1A1A1A"/>
          <w:sz w:val="20"/>
        </w:rPr>
        <w:t>This is a no-fault learning exercise. Participation is in good faith; there are no wrong answers.</w:t>
      </w:r>
    </w:p>
    <w:p>
      <w:pPr>
        <w:pStyle w:val="ListBullet"/>
      </w:pPr>
      <w:r>
        <w:rPr>
          <w:color w:val="1A1A1A"/>
          <w:sz w:val="20"/>
        </w:rPr>
        <w:t>Treat the scenario as real and apply your actual plans, policies, and procedures throughout.</w:t>
      </w:r>
    </w:p>
    <w:p>
      <w:pPr>
        <w:pStyle w:val="ListBullet"/>
      </w:pPr>
      <w:r>
        <w:rPr>
          <w:color w:val="1A1A1A"/>
          <w:sz w:val="20"/>
        </w:rPr>
        <w:t>You may only act on information provided by the facilitator — do not use knowledge from outside the scenario.</w:t>
      </w:r>
    </w:p>
    <w:p>
      <w:pPr>
        <w:pStyle w:val="ListBullet"/>
      </w:pPr>
      <w:r>
        <w:rPr>
          <w:color w:val="1A1A1A"/>
          <w:sz w:val="20"/>
        </w:rPr>
        <w:t>Decisions made during the exercise do not constitute actual organisational decisions.</w:t>
      </w:r>
    </w:p>
    <w:p>
      <w:pPr>
        <w:pStyle w:val="ListBullet"/>
      </w:pPr>
      <w:r>
        <w:rPr>
          <w:color w:val="1A1A1A"/>
          <w:sz w:val="20"/>
        </w:rPr>
        <w:t>If the facilitator calls 'Exercise Suspend — No Duff', all exercise activity stops immediately and real emergency procedures take over.</w:t>
      </w:r>
    </w:p>
    <w:p>
      <w:pPr>
        <w:pStyle w:val="ListBullet"/>
      </w:pPr>
      <w:r>
        <w:rPr>
          <w:color w:val="1A1A1A"/>
          <w:sz w:val="20"/>
        </w:rPr>
        <w:t>Mobile phones and laptops should be silenced and closed unless they are part of the exercise.</w:t>
      </w:r>
    </w:p>
    <w:p>
      <w:pPr>
        <w:pStyle w:val="ListBullet"/>
      </w:pPr>
      <w:r>
        <w:rPr>
          <w:color w:val="1A1A1A"/>
          <w:sz w:val="20"/>
        </w:rPr>
        <w:t>All information shared during the exercise is confidential and must not be distributed outside approved channels.</w:t>
      </w:r>
    </w:p>
    <w:p>
      <w:pPr>
        <w:pStyle w:val="ListBullet"/>
      </w:pPr>
      <w:r>
        <w:rPr>
          <w:color w:val="1A1A1A"/>
          <w:sz w:val="20"/>
        </w:rPr>
        <w:t>The facilitator may pause the exercise at any time for group discussion or to explore a learning point.</w:t>
      </w:r>
    </w:p>
    <w:p>
      <w:pPr>
        <w:pStyle w:val="ListBullet"/>
      </w:pPr>
      <w:r>
        <w:rPr>
          <w:color w:val="1A1A1A"/>
          <w:sz w:val="20"/>
        </w:rPr>
        <w:t>If you are unsure what your plan requires — say so. That uncertainty is itself a valuable finding.</w:t>
      </w:r>
    </w:p>
    <w:p>
      <w:pPr>
        <w:pStyle w:val="ListBullet"/>
      </w:pPr>
      <w:r>
        <w:rPr>
          <w:color w:val="1A1A1A"/>
          <w:sz w:val="20"/>
        </w:rPr>
        <w:t>A no-blame, constructive environment is essential. Focus on processes and systems, not individuals.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4535"/>
            <w:shd w:val="clear" w:color="auto" w:fill="0D1B2A"/>
          </w:tcPr>
          <w:p>
            <w:pPr>
              <w:jc w:val="left"/>
            </w:pPr>
            <w:r/>
            <w:r>
              <w:rPr>
                <w:b/>
                <w:color w:val="FFFFFF"/>
                <w:sz w:val="18"/>
              </w:rPr>
              <w:t>Document / Plan</w:t>
            </w:r>
          </w:p>
        </w:tc>
        <w:tc>
          <w:tcPr>
            <w:tcW w:type="dxa" w:w="4819"/>
            <w:shd w:val="clear" w:color="auto" w:fill="0D1B2A"/>
          </w:tcPr>
          <w:p>
            <w:pPr>
              <w:jc w:val="left"/>
            </w:pPr>
            <w:r/>
            <w:r>
              <w:rPr>
                <w:b/>
                <w:color w:val="FFFFFF"/>
                <w:sz w:val="18"/>
              </w:rPr>
              <w:t>Relationship to this Exercise</w:t>
            </w:r>
          </w:p>
        </w:tc>
      </w:tr>
      <w:tr>
        <w:tc>
          <w:tcPr>
            <w:tcW w:type="dxa" w:w="4535"/>
          </w:tcPr>
          <w:p>
            <w:pPr>
              <w:jc w:val="left"/>
            </w:pPr>
            <w:r/>
            <w:r>
              <w:rPr>
                <w:b w:val="0"/>
                <w:color w:val="1A1A1A"/>
                <w:sz w:val="18"/>
              </w:rPr>
              <w:t>ISO 22301:2019 Business Continuity Management Systems</w:t>
            </w:r>
          </w:p>
        </w:tc>
        <w:tc>
          <w:tcPr>
            <w:tcW w:type="dxa" w:w="4819"/>
          </w:tcPr>
          <w:p>
            <w:pPr>
              <w:jc w:val="left"/>
            </w:pPr>
            <w:r/>
            <w:r>
              <w:rPr>
                <w:b w:val="0"/>
                <w:color w:val="1A1A1A"/>
                <w:sz w:val="18"/>
              </w:rPr>
              <w:t>Governing standard — exercise aligned to Clause 8.5</w:t>
            </w:r>
          </w:p>
        </w:tc>
      </w:tr>
      <w:tr>
        <w:tc>
          <w:tcPr>
            <w:tcW w:type="dxa" w:w="4535"/>
            <w:shd w:val="clear" w:color="auto" w:fill="F0F2F4"/>
          </w:tcPr>
          <w:p>
            <w:pPr>
              <w:jc w:val="left"/>
            </w:pPr>
            <w:r/>
            <w:r>
              <w:rPr>
                <w:b w:val="0"/>
                <w:color w:val="1A1A1A"/>
                <w:sz w:val="18"/>
              </w:rPr>
              <w:t>BCI GPG 2018 PP6 — Validation</w:t>
            </w:r>
          </w:p>
        </w:tc>
        <w:tc>
          <w:tcPr>
            <w:tcW w:type="dxa" w:w="4819"/>
            <w:shd w:val="clear" w:color="auto" w:fill="F0F2F4"/>
          </w:tcPr>
          <w:p>
            <w:pPr>
              <w:jc w:val="left"/>
            </w:pPr>
            <w:r/>
            <w:r>
              <w:rPr>
                <w:b w:val="0"/>
                <w:color w:val="1A1A1A"/>
                <w:sz w:val="18"/>
              </w:rPr>
              <w:t>Exercise design and structure standard</w:t>
            </w:r>
          </w:p>
        </w:tc>
      </w:tr>
      <w:tr>
        <w:tc>
          <w:tcPr>
            <w:tcW w:type="dxa" w:w="4535"/>
          </w:tcPr>
          <w:p>
            <w:pPr>
              <w:jc w:val="left"/>
            </w:pPr>
            <w:r/>
            <w:r>
              <w:rPr>
                <w:b w:val="0"/>
                <w:color w:val="1A1A1A"/>
                <w:sz w:val="18"/>
              </w:rPr>
              <w:t>BCM Programme Policy</w:t>
            </w:r>
          </w:p>
        </w:tc>
        <w:tc>
          <w:tcPr>
            <w:tcW w:type="dxa" w:w="4819"/>
          </w:tcPr>
          <w:p>
            <w:pPr>
              <w:jc w:val="left"/>
            </w:pPr>
            <w:r/>
            <w:r>
              <w:rPr>
                <w:b w:val="0"/>
                <w:color w:val="1A1A1A"/>
                <w:sz w:val="18"/>
              </w:rPr>
              <w:t>Parent policy — authorises and governs the exercise programme</w:t>
            </w:r>
          </w:p>
        </w:tc>
      </w:tr>
    </w:tbl>
    <w:p>
      <w:pPr>
        <w:spacing w:after="80"/>
      </w:pPr>
    </w:p>
    <w:p>
      <w:pPr>
        <w:spacing w:before="240" w:after="80"/>
        <w:pBdr>
          <w:bottom w:val="single" w:sz="6" w:space="1" w:color="0D1B2A"/>
        </w:pBdr>
      </w:pPr>
    </w:p>
    <w:p>
      <w:pPr>
        <w:jc w:val="center"/>
      </w:pPr>
      <w:r>
        <w:rPr>
          <w:color w:val="6C757D"/>
          <w:sz w:val="16"/>
        </w:rPr>
        <w:t>DISTRIBUTION: Participants only  ·  Internal Use Only  ·  BC Studio  ·  16 October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Severely damaged pipes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