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200" w:after="200"/>
              <w:jc w:val="left"/>
            </w:pPr>
            <w:r>
              <w:rPr>
                <w:b/>
                <w:caps/>
                <w:color w:val="FFFFFF"/>
                <w:sz w:val="22"/>
              </w:rPr>
              <w:t>PARTICIPANT BRIEF</w:t>
            </w:r>
          </w:p>
        </w:tc>
      </w:tr>
    </w:tbl>
    <w:p/>
    <w:p>
      <w:pPr>
        <w:spacing w:before="160" w:after="80"/>
      </w:pPr>
      <w:r>
        <w:rPr>
          <w:b/>
          <w:color w:val="0D1B2A"/>
          <w:sz w:val="52"/>
        </w:rPr>
        <w:t>Fraud Incident</w:t>
      </w:r>
    </w:p>
    <w:p>
      <w:pPr>
        <w:spacing w:after="80"/>
      </w:pPr>
      <w:r>
        <w:rPr>
          <w:color w:val="6C757D"/>
          <w:sz w:val="28"/>
        </w:rPr>
        <w:t>Fraud Incident</w:t>
      </w:r>
    </w:p>
    <w:p/>
    <w:p>
      <w:pPr>
        <w:spacing w:before="40" w:after="160"/>
        <w:pBdr>
          <w:bottom w:val="single" w:sz="6" w:space="1" w:color="0D1B2A"/>
        </w:pBdr>
      </w:pP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Version</w:t>
            </w:r>
          </w:p>
        </w:tc>
        <w:tc>
          <w:tcPr>
            <w:tcW w:type="dxa" w:w="4703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1.0</w:t>
            </w:r>
          </w:p>
        </w:tc>
      </w:tr>
      <w:tr>
        <w:tc>
          <w:tcPr>
            <w:tcW w:type="dxa" w:w="4703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Status</w:t>
            </w:r>
          </w:p>
        </w:tc>
        <w:tc>
          <w:tcPr>
            <w:tcW w:type="dxa" w:w="4703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DRAFT — For Review and Approval</w:t>
            </w:r>
          </w:p>
        </w:tc>
      </w:tr>
      <w:tr>
        <w:tc>
          <w:tcPr>
            <w:tcW w:type="dxa" w:w="4703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Classification</w:t>
            </w:r>
          </w:p>
        </w:tc>
        <w:tc>
          <w:tcPr>
            <w:tcW w:type="dxa" w:w="4703"/>
            <w:shd w:val="clear" w:color="auto" w:fill="F0F2F4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Internal Use Only</w:t>
            </w:r>
          </w:p>
        </w:tc>
      </w:tr>
      <w:tr>
        <w:tc>
          <w:tcPr>
            <w:tcW w:type="dxa" w:w="4703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Document Owner</w:t>
            </w:r>
          </w:p>
        </w:tc>
        <w:tc>
          <w:tcPr>
            <w:tcW w:type="dxa" w:w="4703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BCM Programme</w:t>
            </w:r>
          </w:p>
        </w:tc>
      </w:tr>
      <w:tr>
        <w:tc>
          <w:tcPr>
            <w:tcW w:type="dxa" w:w="4703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Date</w:t>
            </w:r>
          </w:p>
        </w:tc>
        <w:tc>
          <w:tcPr>
            <w:tcW w:type="dxa" w:w="4703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17 July 2026</w:t>
            </w:r>
          </w:p>
        </w:tc>
      </w:tr>
    </w:tbl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120" w:after="120"/>
            </w:pPr>
            <w:r>
              <w:rPr>
                <w:b/>
                <w:color w:val="FFFFFF"/>
                <w:sz w:val="22"/>
              </w:rPr>
              <w:t>1.  PURPOSE AND SCOPE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color w:val="1A1A1A"/>
          <w:sz w:val="20"/>
        </w:rPr>
        <w:t>This Participant Brief provides the background information, scenario context, exercise objectives, ground rules, and timeline required for effective participation. Please read this document in full before the exercise commences.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120" w:after="120"/>
            </w:pPr>
            <w:r>
              <w:rPr>
                <w:b/>
                <w:color w:val="FFFFFF"/>
                <w:sz w:val="22"/>
              </w:rPr>
              <w:t>2.  EXERCISE DETAILS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Exercise Title</w:t>
            </w:r>
          </w:p>
        </w:tc>
        <w:tc>
          <w:tcPr>
            <w:tcW w:type="dxa" w:w="6236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Fraud Incident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Organisation</w:t>
            </w:r>
          </w:p>
        </w:tc>
        <w:tc>
          <w:tcPr>
            <w:tcW w:type="dxa" w:w="6236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—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Sector / Context</w:t>
            </w:r>
          </w:p>
        </w:tc>
        <w:tc>
          <w:tcPr>
            <w:tcW w:type="dxa" w:w="6236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Crisis Management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Exercise Format</w:t>
            </w:r>
          </w:p>
        </w:tc>
        <w:tc>
          <w:tcPr>
            <w:tcW w:type="dxa" w:w="6236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—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Complexity</w:t>
            </w:r>
          </w:p>
        </w:tc>
        <w:tc>
          <w:tcPr>
            <w:tcW w:type="dxa" w:w="6236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Moderate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Duration</w:t>
            </w:r>
          </w:p>
        </w:tc>
        <w:tc>
          <w:tcPr>
            <w:tcW w:type="dxa" w:w="6236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120 minutes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Scenario Name</w:t>
            </w:r>
          </w:p>
        </w:tc>
        <w:tc>
          <w:tcPr>
            <w:tcW w:type="dxa" w:w="6236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Fraud Incident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Scheduled Date</w:t>
            </w:r>
          </w:p>
        </w:tc>
        <w:tc>
          <w:tcPr>
            <w:tcW w:type="dxa" w:w="6236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—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Facilitator</w:t>
            </w:r>
          </w:p>
        </w:tc>
        <w:tc>
          <w:tcPr>
            <w:tcW w:type="dxa" w:w="6236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—</w:t>
            </w:r>
          </w:p>
        </w:tc>
      </w:tr>
      <w:tr>
        <w:tc>
          <w:tcPr>
            <w:tcW w:type="dxa" w:w="2835"/>
            <w:shd w:val="clear" w:color="auto" w:fill="D6E4F7"/>
          </w:tcPr>
          <w:p>
            <w:pPr>
              <w:jc w:val="left"/>
            </w:pPr>
            <w:r/>
            <w:r>
              <w:rPr>
                <w:b/>
                <w:color w:val="0D1B2A"/>
                <w:sz w:val="20"/>
              </w:rPr>
              <w:t>No-Fault Principle</w:t>
            </w:r>
          </w:p>
        </w:tc>
        <w:tc>
          <w:tcPr>
            <w:tcW w:type="dxa" w:w="6236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20"/>
              </w:rPr>
              <w:t>Yes — this is a learning exercise. There are no wrong answers.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120" w:after="120"/>
            </w:pPr>
            <w:r>
              <w:rPr>
                <w:b/>
                <w:color w:val="FFFFFF"/>
                <w:sz w:val="22"/>
              </w:rPr>
              <w:t>3.  GOVERNANCE AND AUTHORITY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color w:val="1A1A1A"/>
          <w:sz w:val="20"/>
        </w:rPr>
        <w:t>This exercise is conducted under the organisation's Business Continuity Management (BCM) programme and is consistent with the requirements of ISO 22301:2019, the BCI Good Practice Guidelines (GPG 2018 PP6), and applicable regulatory obligations. The exercise has been approved by the BCM programme sponsor and forms part of the annual validation programme.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120" w:after="120"/>
            </w:pPr>
            <w:r>
              <w:rPr>
                <w:b/>
                <w:color w:val="FFFFFF"/>
                <w:sz w:val="22"/>
              </w:rPr>
              <w:t>4.  ROLES AND RESPONSIBILITIES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color w:val="1A1A1A"/>
          <w:sz w:val="20"/>
        </w:rPr>
        <w:t>The following roles apply during this exercise. All participants are expected to act within their designated role throughout the scenario.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551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Role</w:t>
            </w:r>
          </w:p>
        </w:tc>
        <w:tc>
          <w:tcPr>
            <w:tcW w:type="dxa" w:w="5386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Responsibility</w:t>
            </w:r>
          </w:p>
        </w:tc>
        <w:tc>
          <w:tcPr>
            <w:tcW w:type="dxa" w:w="1417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Type</w:t>
            </w:r>
          </w:p>
        </w:tc>
      </w:tr>
      <w:tr>
        <w:tc>
          <w:tcPr>
            <w:tcW w:type="dxa" w:w="2551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Exercise Facilitator</w:t>
            </w:r>
          </w:p>
        </w:tc>
        <w:tc>
          <w:tcPr>
            <w:tcW w:type="dxa" w:w="5386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Leads the exercise; delivers injects; manages timing; ensures learning outcomes</w:t>
            </w:r>
          </w:p>
        </w:tc>
        <w:tc>
          <w:tcPr>
            <w:tcW w:type="dxa" w:w="1417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Facilitator</w:t>
            </w:r>
          </w:p>
        </w:tc>
      </w:tr>
      <w:tr>
        <w:tc>
          <w:tcPr>
            <w:tcW w:type="dxa" w:w="2551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Exercise Observer</w:t>
            </w:r>
          </w:p>
        </w:tc>
        <w:tc>
          <w:tcPr>
            <w:tcW w:type="dxa" w:w="5386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Observes participant behaviours against evaluation criteria; does not participate in decisions</w:t>
            </w:r>
          </w:p>
        </w:tc>
        <w:tc>
          <w:tcPr>
            <w:tcW w:type="dxa" w:w="1417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Observer</w:t>
            </w:r>
          </w:p>
        </w:tc>
      </w:tr>
      <w:tr>
        <w:tc>
          <w:tcPr>
            <w:tcW w:type="dxa" w:w="2551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Participant</w:t>
            </w:r>
          </w:p>
        </w:tc>
        <w:tc>
          <w:tcPr>
            <w:tcW w:type="dxa" w:w="5386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Responds to injects in role; applies relevant plans and procedures; engages in discussion</w:t>
            </w:r>
          </w:p>
        </w:tc>
        <w:tc>
          <w:tcPr>
            <w:tcW w:type="dxa" w:w="1417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Participant</w:t>
            </w:r>
          </w:p>
        </w:tc>
      </w:tr>
      <w:tr>
        <w:tc>
          <w:tcPr>
            <w:tcW w:type="dxa" w:w="2551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BCM Programme Owner</w:t>
            </w:r>
          </w:p>
        </w:tc>
        <w:tc>
          <w:tcPr>
            <w:tcW w:type="dxa" w:w="5386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Exercise sponsor; receives the AAR; owns the improvement register</w:t>
            </w:r>
          </w:p>
        </w:tc>
        <w:tc>
          <w:tcPr>
            <w:tcW w:type="dxa" w:w="1417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Governance</w:t>
            </w:r>
          </w:p>
        </w:tc>
      </w:tr>
      <w:tr>
        <w:tc>
          <w:tcPr>
            <w:tcW w:type="dxa" w:w="2551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Scribe / Note-taker</w:t>
            </w:r>
          </w:p>
        </w:tc>
        <w:tc>
          <w:tcPr>
            <w:tcW w:type="dxa" w:w="5386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Records decisions, actions, and notable observations throughout the exercise</w:t>
            </w:r>
          </w:p>
        </w:tc>
        <w:tc>
          <w:tcPr>
            <w:tcW w:type="dxa" w:w="1417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Support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D6E4F7"/>
          </w:tcPr>
          <w:p>
            <w:pPr>
              <w:spacing w:before="120" w:after="120"/>
            </w:pPr>
            <w:r>
              <w:rPr>
                <w:b/>
                <w:color w:val="0D1B2A"/>
                <w:sz w:val="18"/>
              </w:rPr>
              <w:t xml:space="preserve">OBSERVER GUIDANCE: </w:t>
            </w:r>
            <w:r>
              <w:rPr>
                <w:color w:val="1A1A1A"/>
                <w:sz w:val="18"/>
              </w:rPr>
              <w:t>Observers must not prompt, assist, or intervene during the exercise. Their role is to record observations for the hot debrief and After Action Report.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120" w:after="120"/>
            </w:pPr>
            <w:r>
              <w:rPr>
                <w:b/>
                <w:color w:val="FFFFFF"/>
                <w:sz w:val="22"/>
              </w:rPr>
              <w:t>5.  LEARNING OBJECTIVES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color w:val="1A1A1A"/>
          <w:sz w:val="20"/>
        </w:rPr>
        <w:t>The following objectives define what this exercise is designed to test and validate. Success criteria are defined for each objective and will be assessed in the After Action Report.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4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685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Objective</w:t>
            </w:r>
          </w:p>
        </w:tc>
        <w:tc>
          <w:tcPr>
            <w:tcW w:type="dxa" w:w="1984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Capability Area</w:t>
            </w:r>
          </w:p>
        </w:tc>
        <w:tc>
          <w:tcPr>
            <w:tcW w:type="dxa" w:w="3231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Success Criteria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1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Assess the effectiveness of the crisis management team activation process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  <w:tc>
          <w:tcPr>
            <w:tcW w:type="dxa" w:w="3231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</w:tr>
      <w:tr>
        <w:tc>
          <w:tcPr>
            <w:tcW w:type="dxa" w:w="454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2</w:t>
            </w:r>
          </w:p>
        </w:tc>
        <w:tc>
          <w:tcPr>
            <w:tcW w:type="dxa" w:w="3685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Evaluate the organization's communication strategy with stakeholders</w:t>
            </w:r>
          </w:p>
        </w:tc>
        <w:tc>
          <w:tcPr>
            <w:tcW w:type="dxa" w:w="1984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  <w:tc>
          <w:tcPr>
            <w:tcW w:type="dxa" w:w="3231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3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Determine the ability to conduct a rapid financial review and risk assessment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  <w:tc>
          <w:tcPr>
            <w:tcW w:type="dxa" w:w="3231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</w:tr>
      <w:tr>
        <w:tc>
          <w:tcPr>
            <w:tcW w:type="dxa" w:w="454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4</w:t>
            </w:r>
          </w:p>
        </w:tc>
        <w:tc>
          <w:tcPr>
            <w:tcW w:type="dxa" w:w="3685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Test compliance with regulatory notification requirements</w:t>
            </w:r>
          </w:p>
        </w:tc>
        <w:tc>
          <w:tcPr>
            <w:tcW w:type="dxa" w:w="1984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  <w:tc>
          <w:tcPr>
            <w:tcW w:type="dxa" w:w="3231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</w:tr>
      <w:tr>
        <w:tc>
          <w:tcPr>
            <w:tcW w:type="dxa" w:w="45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5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Analyze decision-making and leadership effectiveness under crisis conditions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  <w:tc>
          <w:tcPr>
            <w:tcW w:type="dxa" w:w="3231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—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120" w:after="120"/>
            </w:pPr>
            <w:r>
              <w:rPr>
                <w:b/>
                <w:color w:val="FFFFFF"/>
                <w:sz w:val="22"/>
              </w:rPr>
              <w:t>7.  EXERCISE TIMELINE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D6E4F7"/>
          </w:tcPr>
          <w:p>
            <w:pPr>
              <w:spacing w:before="120" w:after="120"/>
            </w:pPr>
            <w:r>
              <w:rPr>
                <w:b/>
                <w:color w:val="0D1B2A"/>
                <w:sz w:val="18"/>
              </w:rPr>
              <w:t xml:space="preserve">NOTE: </w:t>
            </w:r>
            <w:r>
              <w:rPr>
                <w:color w:val="1A1A1A"/>
                <w:sz w:val="18"/>
              </w:rPr>
              <w:t>Detailed phase timing will be advised by the facilitator at the exercise briefing.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120" w:after="120"/>
            </w:pPr>
            <w:r>
              <w:rPr>
                <w:b/>
                <w:color w:val="FFFFFF"/>
                <w:sz w:val="22"/>
              </w:rPr>
              <w:t>8.  GROUND RULES</w:t>
            </w:r>
          </w:p>
        </w:tc>
      </w:tr>
    </w:tbl>
    <w:p>
      <w:pPr>
        <w:spacing w:after="40"/>
      </w:pPr>
    </w:p>
    <w:p>
      <w:pPr>
        <w:pStyle w:val="ListBullet"/>
      </w:pPr>
      <w:r>
        <w:rPr>
          <w:color w:val="1A1A1A"/>
          <w:sz w:val="20"/>
        </w:rPr>
        <w:t>This is a no-fault learning exercise. Participation is in good faith; there are no wrong answers.</w:t>
      </w:r>
    </w:p>
    <w:p>
      <w:pPr>
        <w:pStyle w:val="ListBullet"/>
      </w:pPr>
      <w:r>
        <w:rPr>
          <w:color w:val="1A1A1A"/>
          <w:sz w:val="20"/>
        </w:rPr>
        <w:t>Treat the scenario as real and apply your actual plans, policies, and procedures throughout.</w:t>
      </w:r>
    </w:p>
    <w:p>
      <w:pPr>
        <w:pStyle w:val="ListBullet"/>
      </w:pPr>
      <w:r>
        <w:rPr>
          <w:color w:val="1A1A1A"/>
          <w:sz w:val="20"/>
        </w:rPr>
        <w:t>You may only act on information provided by the facilitator — do not use knowledge from outside the scenario.</w:t>
      </w:r>
    </w:p>
    <w:p>
      <w:pPr>
        <w:pStyle w:val="ListBullet"/>
      </w:pPr>
      <w:r>
        <w:rPr>
          <w:color w:val="1A1A1A"/>
          <w:sz w:val="20"/>
        </w:rPr>
        <w:t>Decisions made during the exercise do not constitute actual organisational decisions.</w:t>
      </w:r>
    </w:p>
    <w:p>
      <w:pPr>
        <w:pStyle w:val="ListBullet"/>
      </w:pPr>
      <w:r>
        <w:rPr>
          <w:color w:val="1A1A1A"/>
          <w:sz w:val="20"/>
        </w:rPr>
        <w:t>If the facilitator calls 'Exercise Suspend — No Duff', all exercise activity stops immediately and real emergency procedures take over.</w:t>
      </w:r>
    </w:p>
    <w:p>
      <w:pPr>
        <w:pStyle w:val="ListBullet"/>
      </w:pPr>
      <w:r>
        <w:rPr>
          <w:color w:val="1A1A1A"/>
          <w:sz w:val="20"/>
        </w:rPr>
        <w:t>Mobile phones and laptops should be silenced and closed unless they are part of the exercise.</w:t>
      </w:r>
    </w:p>
    <w:p>
      <w:pPr>
        <w:pStyle w:val="ListBullet"/>
      </w:pPr>
      <w:r>
        <w:rPr>
          <w:color w:val="1A1A1A"/>
          <w:sz w:val="20"/>
        </w:rPr>
        <w:t>All information shared during the exercise is confidential and must not be distributed outside approved channels.</w:t>
      </w:r>
    </w:p>
    <w:p>
      <w:pPr>
        <w:pStyle w:val="ListBullet"/>
      </w:pPr>
      <w:r>
        <w:rPr>
          <w:color w:val="1A1A1A"/>
          <w:sz w:val="20"/>
        </w:rPr>
        <w:t>The facilitator may pause the exercise at any time for group discussion or to explore a learning point.</w:t>
      </w:r>
    </w:p>
    <w:p>
      <w:pPr>
        <w:pStyle w:val="ListBullet"/>
      </w:pPr>
      <w:r>
        <w:rPr>
          <w:color w:val="1A1A1A"/>
          <w:sz w:val="20"/>
        </w:rPr>
        <w:t>If you are unsure what your plan requires — say so. That uncertainty is itself a valuable finding.</w:t>
      </w:r>
    </w:p>
    <w:p>
      <w:pPr>
        <w:pStyle w:val="ListBullet"/>
      </w:pPr>
      <w:r>
        <w:rPr>
          <w:color w:val="1A1A1A"/>
          <w:sz w:val="20"/>
        </w:rPr>
        <w:t>A no-blame, constructive environment is essential. Focus on processes and systems, not individuals.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1B2A"/>
          </w:tcPr>
          <w:p>
            <w:pPr>
              <w:spacing w:before="120" w:after="120"/>
            </w:pPr>
            <w:r>
              <w:rPr>
                <w:b/>
                <w:color w:val="FFFFFF"/>
                <w:sz w:val="22"/>
              </w:rPr>
              <w:t>9.  RELATIONSHIP TO OTHER PLANS AND DOCUMENTS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Document / Plan</w:t>
            </w:r>
          </w:p>
        </w:tc>
        <w:tc>
          <w:tcPr>
            <w:tcW w:type="dxa" w:w="4819"/>
            <w:shd w:val="clear" w:color="auto" w:fill="0D1B2A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Relationship to this Exercise</w:t>
            </w:r>
          </w:p>
        </w:tc>
      </w:tr>
      <w:tr>
        <w:tc>
          <w:tcPr>
            <w:tcW w:type="dxa" w:w="4535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ISO 22301:2019 Business Continuity Management Systems</w:t>
            </w:r>
          </w:p>
        </w:tc>
        <w:tc>
          <w:tcPr>
            <w:tcW w:type="dxa" w:w="4819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Governing standard — exercise aligned to Clause 8.5</w:t>
            </w:r>
          </w:p>
        </w:tc>
      </w:tr>
      <w:tr>
        <w:tc>
          <w:tcPr>
            <w:tcW w:type="dxa" w:w="4535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BCI GPG 2018 PP6 — Validation</w:t>
            </w:r>
          </w:p>
        </w:tc>
        <w:tc>
          <w:tcPr>
            <w:tcW w:type="dxa" w:w="4819"/>
            <w:shd w:val="clear" w:color="auto" w:fill="F0F2F4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Exercise design and structure standard</w:t>
            </w:r>
          </w:p>
        </w:tc>
      </w:tr>
      <w:tr>
        <w:tc>
          <w:tcPr>
            <w:tcW w:type="dxa" w:w="4535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BCM Programme Policy</w:t>
            </w:r>
          </w:p>
        </w:tc>
        <w:tc>
          <w:tcPr>
            <w:tcW w:type="dxa" w:w="4819"/>
          </w:tcPr>
          <w:p>
            <w:pPr>
              <w:jc w:val="left"/>
            </w:pPr>
            <w:r/>
            <w:r>
              <w:rPr>
                <w:b w:val="0"/>
                <w:color w:val="1A1A1A"/>
                <w:sz w:val="18"/>
              </w:rPr>
              <w:t>Parent policy — authorises and governs the exercise programme</w:t>
            </w:r>
          </w:p>
        </w:tc>
      </w:tr>
    </w:tbl>
    <w:p>
      <w:pPr>
        <w:spacing w:after="80"/>
      </w:pPr>
    </w:p>
    <w:p>
      <w:pPr>
        <w:spacing w:before="240" w:after="80"/>
        <w:pBdr>
          <w:bottom w:val="single" w:sz="6" w:space="1" w:color="0D1B2A"/>
        </w:pBdr>
      </w:pPr>
    </w:p>
    <w:p>
      <w:pPr>
        <w:jc w:val="center"/>
      </w:pPr>
      <w:r>
        <w:rPr>
          <w:color w:val="6C757D"/>
          <w:sz w:val="16"/>
        </w:rPr>
        <w:t>DISTRIBUTION: Participants only  ·  Internal Use Only  ·  BC Studio  ·  17 July 2026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C757D"/>
        <w:sz w:val="15"/>
      </w:rPr>
      <w:t>Internal Use Only  ·  BC Studio  ·  17 July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i/>
        <w:color w:val="6C757D"/>
        <w:sz w:val="16"/>
      </w:rPr>
      <w:t>Fraud Incident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