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200" w:after="200"/>
              <w:jc w:val="left"/>
            </w:pPr>
            <w:r>
              <w:rPr>
                <w:b/>
                <w:caps/>
                <w:color w:val="FFFFFF"/>
                <w:sz w:val="22"/>
              </w:rPr>
              <w:t>FACILITATOR GUIDE — CONFIDENTIAL</w:t>
            </w:r>
          </w:p>
        </w:tc>
      </w:tr>
    </w:tbl>
    <w:p/>
    <w:p>
      <w:pPr>
        <w:spacing w:before="160" w:after="80"/>
      </w:pPr>
      <w:r>
        <w:rPr>
          <w:b/>
          <w:color w:val="0D1B2A"/>
          <w:sz w:val="52"/>
        </w:rPr>
        <w:t>Global Pandemic</w:t>
      </w:r>
    </w:p>
    <w:p/>
    <w:p>
      <w:pPr>
        <w:spacing w:before="40" w:after="160"/>
        <w:pBdr>
          <w:bottom w:val="single" w:sz="6" w:space="1" w:color="0D1B2A"/>
        </w:pBdr>
      </w:pPr>
    </w:p>
    <w:p/>
    <w:tbl>
      <w:tblPr>
        <w:tblStyle w:val="TableGrid"/>
        <w:tblW w:type="auto" w:w="0"/>
        <w:tblLook w:firstColumn="1" w:firstRow="1" w:lastColumn="0" w:lastRow="0" w:noHBand="0" w:noVBand="1" w:val="04A0"/>
      </w:tblPr>
      <w:tblGrid>
        <w:gridCol w:w="4703"/>
        <w:gridCol w:w="4703"/>
      </w:tblGrid>
      <w:tr>
        <w:tc>
          <w:tcPr>
            <w:tcW w:type="dxa" w:w="4703"/>
            <w:shd w:val="clear" w:color="auto" w:fill="D6E4F7"/>
          </w:tcPr>
          <w:p>
            <w:pPr>
              <w:jc w:val="left"/>
            </w:pPr>
            <w:r/>
            <w:r>
              <w:rPr>
                <w:b/>
                <w:color w:val="0D1B2A"/>
                <w:sz w:val="20"/>
              </w:rPr>
              <w:t>Version</w:t>
            </w:r>
          </w:p>
        </w:tc>
        <w:tc>
          <w:tcPr>
            <w:tcW w:type="dxa" w:w="4703"/>
            <w:shd w:val="clear" w:color="auto" w:fill="F0F2F4"/>
          </w:tcPr>
          <w:p>
            <w:pPr>
              <w:jc w:val="left"/>
            </w:pPr>
            <w:r/>
            <w:r>
              <w:rPr>
                <w:b w:val="0"/>
                <w:color w:val="1A1A1A"/>
                <w:sz w:val="20"/>
              </w:rPr>
              <w:t>1.0</w:t>
            </w:r>
          </w:p>
        </w:tc>
      </w:tr>
      <w:tr>
        <w:tc>
          <w:tcPr>
            <w:tcW w:type="dxa" w:w="4703"/>
            <w:shd w:val="clear" w:color="auto" w:fill="D6E4F7"/>
          </w:tcPr>
          <w:p>
            <w:pPr>
              <w:jc w:val="left"/>
            </w:pPr>
            <w:r/>
            <w:r>
              <w:rPr>
                <w:b/>
                <w:color w:val="0D1B2A"/>
                <w:sz w:val="20"/>
              </w:rPr>
              <w:t>Status</w:t>
            </w:r>
          </w:p>
        </w:tc>
        <w:tc>
          <w:tcPr>
            <w:tcW w:type="dxa" w:w="4703"/>
            <w:shd w:val="clear" w:color="auto" w:fill="F0F2F4"/>
          </w:tcPr>
          <w:p>
            <w:pPr>
              <w:jc w:val="left"/>
            </w:pPr>
            <w:r/>
            <w:r>
              <w:rPr>
                <w:b w:val="0"/>
                <w:color w:val="1A1A1A"/>
                <w:sz w:val="20"/>
              </w:rPr>
              <w:t>DRAFT — For Review and Approval</w:t>
            </w:r>
          </w:p>
        </w:tc>
      </w:tr>
      <w:tr>
        <w:tc>
          <w:tcPr>
            <w:tcW w:type="dxa" w:w="4703"/>
            <w:shd w:val="clear" w:color="auto" w:fill="D6E4F7"/>
          </w:tcPr>
          <w:p>
            <w:pPr>
              <w:jc w:val="left"/>
            </w:pPr>
            <w:r/>
            <w:r>
              <w:rPr>
                <w:b/>
                <w:color w:val="0D1B2A"/>
                <w:sz w:val="20"/>
              </w:rPr>
              <w:t>Classification</w:t>
            </w:r>
          </w:p>
        </w:tc>
        <w:tc>
          <w:tcPr>
            <w:tcW w:type="dxa" w:w="4703"/>
            <w:shd w:val="clear" w:color="auto" w:fill="F0F2F4"/>
          </w:tcPr>
          <w:p>
            <w:pPr>
              <w:jc w:val="left"/>
            </w:pPr>
            <w:r/>
            <w:r>
              <w:rPr>
                <w:b/>
                <w:color w:val="0D1B2A"/>
                <w:sz w:val="20"/>
              </w:rPr>
              <w:t>Confidential — Facilitator Only</w:t>
            </w:r>
          </w:p>
        </w:tc>
      </w:tr>
      <w:tr>
        <w:tc>
          <w:tcPr>
            <w:tcW w:type="dxa" w:w="4703"/>
            <w:shd w:val="clear" w:color="auto" w:fill="D6E4F7"/>
          </w:tcPr>
          <w:p>
            <w:pPr>
              <w:jc w:val="left"/>
            </w:pPr>
            <w:r/>
            <w:r>
              <w:rPr>
                <w:b/>
                <w:color w:val="0D1B2A"/>
                <w:sz w:val="20"/>
              </w:rPr>
              <w:t>Document Owner</w:t>
            </w:r>
          </w:p>
        </w:tc>
        <w:tc>
          <w:tcPr>
            <w:tcW w:type="dxa" w:w="4703"/>
            <w:shd w:val="clear" w:color="auto" w:fill="F0F2F4"/>
          </w:tcPr>
          <w:p>
            <w:pPr>
              <w:jc w:val="left"/>
            </w:pPr>
            <w:r/>
            <w:r>
              <w:rPr>
                <w:b w:val="0"/>
                <w:color w:val="1A1A1A"/>
                <w:sz w:val="20"/>
              </w:rPr>
              <w:t>Exercise Facilitator / BCM Programme Owner</w:t>
            </w:r>
          </w:p>
        </w:tc>
      </w:tr>
      <w:tr>
        <w:tc>
          <w:tcPr>
            <w:tcW w:type="dxa" w:w="4703"/>
            <w:shd w:val="clear" w:color="auto" w:fill="D6E4F7"/>
          </w:tcPr>
          <w:p>
            <w:pPr>
              <w:jc w:val="left"/>
            </w:pPr>
            <w:r/>
            <w:r>
              <w:rPr>
                <w:b/>
                <w:color w:val="0D1B2A"/>
                <w:sz w:val="20"/>
              </w:rPr>
              <w:t>Date</w:t>
            </w:r>
          </w:p>
        </w:tc>
        <w:tc>
          <w:tcPr>
            <w:tcW w:type="dxa" w:w="4703"/>
            <w:shd w:val="clear" w:color="auto" w:fill="F0F2F4"/>
          </w:tcPr>
          <w:p>
            <w:pPr>
              <w:jc w:val="left"/>
            </w:pPr>
            <w:r/>
            <w:r>
              <w:rPr>
                <w:b w:val="0"/>
                <w:color w:val="1A1A1A"/>
                <w:sz w:val="20"/>
              </w:rPr>
              <w:t>13 June 2026</w:t>
            </w:r>
          </w:p>
        </w:tc>
      </w:tr>
    </w:tbl>
    <w:p>
      <w:r>
        <w:br w:type="page"/>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1.  PURPOSE AND FACILITATOR INSTRUCTIONS</w:t>
            </w:r>
          </w:p>
        </w:tc>
      </w:tr>
    </w:tbl>
    <w:p>
      <w:pPr>
        <w:spacing w:after="40"/>
      </w:pPr>
    </w:p>
    <w:p>
      <w:pPr>
        <w:spacing w:after="80"/>
      </w:pPr>
      <w:r>
        <w:rPr>
          <w:color w:val="1A1A1A"/>
          <w:sz w:val="20"/>
        </w:rPr>
        <w:t>This Facilitator Guide is the primary reference document for conducting this exercise. It contains the full Master Scenario Events List (MSEL), expected participant responses, evaluation criteria, discussion prompts, and post-exercise debrief guidance.</w:t>
      </w:r>
    </w:p>
    <w:tbl>
      <w:tblPr>
        <w:tblStyle w:val="TableGrid"/>
        <w:tblW w:type="auto" w:w="0"/>
        <w:tblLook w:firstColumn="1" w:firstRow="1" w:lastColumn="0" w:lastRow="0" w:noHBand="0" w:noVBand="1" w:val="04A0"/>
      </w:tblPr>
      <w:tblGrid>
        <w:gridCol w:w="9406"/>
      </w:tblGrid>
      <w:tr>
        <w:tc>
          <w:tcPr>
            <w:tcW w:type="dxa" w:w="9406"/>
            <w:shd w:val="clear" w:color="auto" w:fill="D6E4F7"/>
          </w:tcPr>
          <w:p>
            <w:pPr>
              <w:spacing w:before="120" w:after="120"/>
            </w:pPr>
            <w:r>
              <w:rPr>
                <w:b/>
                <w:color w:val="0D1B2A"/>
                <w:sz w:val="18"/>
              </w:rPr>
              <w:t xml:space="preserve">CONFIDENTIAL: </w:t>
            </w:r>
            <w:r>
              <w:rPr>
                <w:color w:val="1A1A1A"/>
                <w:sz w:val="18"/>
              </w:rPr>
              <w:t>This document is CONFIDENTIAL and must not be distributed to exercise participants before or during the exercise. It is for the facilitator(s) and observer(s) only.</w:t>
            </w:r>
          </w:p>
        </w:tc>
      </w:tr>
    </w:tbl>
    <w:p>
      <w:pPr>
        <w:spacing w:after="80"/>
      </w:pPr>
    </w:p>
    <w:p>
      <w:pPr>
        <w:spacing w:before="200" w:after="40"/>
      </w:pPr>
      <w:r>
        <w:rPr>
          <w:b/>
          <w:color w:val="00447A"/>
          <w:sz w:val="22"/>
        </w:rPr>
        <w:t>Pre-Exercise Checklist</w:t>
      </w:r>
    </w:p>
    <w:p>
      <w:pPr>
        <w:pStyle w:val="ListBullet"/>
      </w:pPr>
      <w:r>
        <w:rPr>
          <w:color w:val="1A1A1A"/>
          <w:sz w:val="20"/>
        </w:rPr>
        <w:t>Review all injects and understand the intended learning for each</w:t>
      </w:r>
    </w:p>
    <w:p>
      <w:pPr>
        <w:pStyle w:val="ListBullet"/>
      </w:pPr>
      <w:r>
        <w:rPr>
          <w:color w:val="1A1A1A"/>
          <w:sz w:val="20"/>
        </w:rPr>
        <w:t>Confirm participant list, roles, and seating arrangements</w:t>
      </w:r>
    </w:p>
    <w:p>
      <w:pPr>
        <w:pStyle w:val="ListBullet"/>
      </w:pPr>
      <w:r>
        <w:rPr>
          <w:color w:val="1A1A1A"/>
          <w:sz w:val="20"/>
        </w:rPr>
        <w:t>Distribute Participant Briefs — do not distribute this guide</w:t>
      </w:r>
    </w:p>
    <w:p>
      <w:pPr>
        <w:pStyle w:val="ListBullet"/>
      </w:pPr>
      <w:r>
        <w:rPr>
          <w:color w:val="1A1A1A"/>
          <w:sz w:val="20"/>
        </w:rPr>
        <w:t>Confirm observer assignments and distribute evaluation criteria</w:t>
      </w:r>
    </w:p>
    <w:p>
      <w:pPr>
        <w:pStyle w:val="ListBullet"/>
      </w:pPr>
      <w:r>
        <w:rPr>
          <w:color w:val="1A1A1A"/>
          <w:sz w:val="20"/>
        </w:rPr>
        <w:t>Test any technology required (screen, projector, conferencing)</w:t>
      </w:r>
    </w:p>
    <w:p>
      <w:pPr>
        <w:pStyle w:val="ListBullet"/>
      </w:pPr>
      <w:r>
        <w:rPr>
          <w:color w:val="1A1A1A"/>
          <w:sz w:val="20"/>
        </w:rPr>
        <w:t>Confirm 'no duff' / exercise suspend protocol with all attendees</w:t>
      </w:r>
    </w:p>
    <w:p>
      <w:pPr>
        <w:pStyle w:val="ListBullet"/>
      </w:pPr>
      <w:r>
        <w:rPr>
          <w:color w:val="1A1A1A"/>
          <w:sz w:val="20"/>
        </w:rPr>
        <w:t>Protect the hot debrief slot — minimum 20 minutes at the end</w:t>
      </w:r>
    </w:p>
    <w:p>
      <w:pPr>
        <w:pStyle w:val="ListBullet"/>
      </w:pPr>
      <w:r>
        <w:rPr>
          <w:color w:val="1A1A1A"/>
          <w:sz w:val="20"/>
        </w:rPr>
        <w:t>Ensure a scribe or note-taker is assigned and briefed</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2.  EXERCISE SUMMARY</w:t>
            </w:r>
          </w:p>
        </w:tc>
      </w:tr>
    </w:tbl>
    <w:p>
      <w:pPr>
        <w:spacing w:after="40"/>
      </w:pPr>
    </w:p>
    <w:tbl>
      <w:tblPr>
        <w:tblStyle w:val="TableGrid"/>
        <w:tblW w:type="auto" w:w="0"/>
        <w:tblLook w:firstColumn="1" w:firstRow="1" w:lastColumn="0" w:lastRow="0" w:noHBand="0" w:noVBand="1" w:val="04A0"/>
      </w:tblPr>
      <w:tblGrid>
        <w:gridCol w:w="4703"/>
        <w:gridCol w:w="4703"/>
      </w:tblGrid>
      <w:tr>
        <w:tc>
          <w:tcPr>
            <w:tcW w:type="dxa" w:w="2835"/>
            <w:shd w:val="clear" w:color="auto" w:fill="D6E4F7"/>
          </w:tcPr>
          <w:p>
            <w:pPr>
              <w:jc w:val="left"/>
            </w:pPr>
            <w:r/>
            <w:r>
              <w:rPr>
                <w:b/>
                <w:color w:val="0D1B2A"/>
                <w:sz w:val="20"/>
              </w:rPr>
              <w:t>Exercise Title</w:t>
            </w:r>
          </w:p>
        </w:tc>
        <w:tc>
          <w:tcPr>
            <w:tcW w:type="dxa" w:w="6236"/>
          </w:tcPr>
          <w:p>
            <w:pPr>
              <w:jc w:val="left"/>
            </w:pPr>
            <w:r/>
            <w:r>
              <w:rPr>
                <w:b w:val="0"/>
                <w:color w:val="1A1A1A"/>
                <w:sz w:val="20"/>
              </w:rPr>
              <w:t>Global Pandemic</w:t>
            </w:r>
          </w:p>
        </w:tc>
      </w:tr>
      <w:tr>
        <w:tc>
          <w:tcPr>
            <w:tcW w:type="dxa" w:w="2835"/>
            <w:shd w:val="clear" w:color="auto" w:fill="D6E4F7"/>
          </w:tcPr>
          <w:p>
            <w:pPr>
              <w:jc w:val="left"/>
            </w:pPr>
            <w:r/>
            <w:r>
              <w:rPr>
                <w:b/>
                <w:color w:val="0D1B2A"/>
                <w:sz w:val="20"/>
              </w:rPr>
              <w:t>Organisation</w:t>
            </w:r>
          </w:p>
        </w:tc>
        <w:tc>
          <w:tcPr>
            <w:tcW w:type="dxa" w:w="6236"/>
            <w:shd w:val="clear" w:color="auto" w:fill="F0F2F4"/>
          </w:tcPr>
          <w:p>
            <w:pPr>
              <w:jc w:val="left"/>
            </w:pPr>
            <w:r/>
            <w:r>
              <w:rPr>
                <w:b w:val="0"/>
                <w:color w:val="1A1A1A"/>
                <w:sz w:val="20"/>
              </w:rPr>
              <w:t>—</w:t>
            </w:r>
          </w:p>
        </w:tc>
      </w:tr>
      <w:tr>
        <w:tc>
          <w:tcPr>
            <w:tcW w:type="dxa" w:w="2835"/>
            <w:shd w:val="clear" w:color="auto" w:fill="D6E4F7"/>
          </w:tcPr>
          <w:p>
            <w:pPr>
              <w:jc w:val="left"/>
            </w:pPr>
            <w:r/>
            <w:r>
              <w:rPr>
                <w:b/>
                <w:color w:val="0D1B2A"/>
                <w:sz w:val="20"/>
              </w:rPr>
              <w:t>Category</w:t>
            </w:r>
          </w:p>
        </w:tc>
        <w:tc>
          <w:tcPr>
            <w:tcW w:type="dxa" w:w="6236"/>
          </w:tcPr>
          <w:p>
            <w:pPr>
              <w:jc w:val="left"/>
            </w:pPr>
            <w:r/>
            <w:r>
              <w:rPr>
                <w:b w:val="0"/>
                <w:color w:val="1A1A1A"/>
                <w:sz w:val="20"/>
              </w:rPr>
              <w:t>Workforce Disruption</w:t>
            </w:r>
          </w:p>
        </w:tc>
      </w:tr>
      <w:tr>
        <w:tc>
          <w:tcPr>
            <w:tcW w:type="dxa" w:w="2835"/>
            <w:shd w:val="clear" w:color="auto" w:fill="D6E4F7"/>
          </w:tcPr>
          <w:p>
            <w:pPr>
              <w:jc w:val="left"/>
            </w:pPr>
            <w:r/>
            <w:r>
              <w:rPr>
                <w:b/>
                <w:color w:val="0D1B2A"/>
                <w:sz w:val="20"/>
              </w:rPr>
              <w:t>Exercise Format</w:t>
            </w:r>
          </w:p>
        </w:tc>
        <w:tc>
          <w:tcPr>
            <w:tcW w:type="dxa" w:w="6236"/>
            <w:shd w:val="clear" w:color="auto" w:fill="F0F2F4"/>
          </w:tcPr>
          <w:p>
            <w:pPr>
              <w:jc w:val="left"/>
            </w:pPr>
            <w:r/>
            <w:r>
              <w:rPr>
                <w:b w:val="0"/>
                <w:color w:val="1A1A1A"/>
                <w:sz w:val="20"/>
              </w:rPr>
              <w:t>Tabletop</w:t>
            </w:r>
          </w:p>
        </w:tc>
      </w:tr>
      <w:tr>
        <w:tc>
          <w:tcPr>
            <w:tcW w:type="dxa" w:w="2835"/>
            <w:shd w:val="clear" w:color="auto" w:fill="D6E4F7"/>
          </w:tcPr>
          <w:p>
            <w:pPr>
              <w:jc w:val="left"/>
            </w:pPr>
            <w:r/>
            <w:r>
              <w:rPr>
                <w:b/>
                <w:color w:val="0D1B2A"/>
                <w:sz w:val="20"/>
              </w:rPr>
              <w:t>Complexity</w:t>
            </w:r>
          </w:p>
        </w:tc>
        <w:tc>
          <w:tcPr>
            <w:tcW w:type="dxa" w:w="6236"/>
          </w:tcPr>
          <w:p>
            <w:pPr>
              <w:jc w:val="left"/>
            </w:pPr>
            <w:r/>
            <w:r>
              <w:rPr>
                <w:b w:val="0"/>
                <w:color w:val="1A1A1A"/>
                <w:sz w:val="20"/>
              </w:rPr>
              <w:t>Moderate</w:t>
            </w:r>
          </w:p>
        </w:tc>
      </w:tr>
      <w:tr>
        <w:tc>
          <w:tcPr>
            <w:tcW w:type="dxa" w:w="2835"/>
            <w:shd w:val="clear" w:color="auto" w:fill="D6E4F7"/>
          </w:tcPr>
          <w:p>
            <w:pPr>
              <w:jc w:val="left"/>
            </w:pPr>
            <w:r/>
            <w:r>
              <w:rPr>
                <w:b/>
                <w:color w:val="0D1B2A"/>
                <w:sz w:val="20"/>
              </w:rPr>
              <w:t>Duration</w:t>
            </w:r>
          </w:p>
        </w:tc>
        <w:tc>
          <w:tcPr>
            <w:tcW w:type="dxa" w:w="6236"/>
            <w:shd w:val="clear" w:color="auto" w:fill="F0F2F4"/>
          </w:tcPr>
          <w:p>
            <w:pPr>
              <w:jc w:val="left"/>
            </w:pPr>
            <w:r/>
            <w:r>
              <w:rPr>
                <w:b w:val="0"/>
                <w:color w:val="1A1A1A"/>
                <w:sz w:val="20"/>
              </w:rPr>
              <w:t>180 minutes</w:t>
            </w:r>
          </w:p>
        </w:tc>
      </w:tr>
      <w:tr>
        <w:tc>
          <w:tcPr>
            <w:tcW w:type="dxa" w:w="2835"/>
            <w:shd w:val="clear" w:color="auto" w:fill="D6E4F7"/>
          </w:tcPr>
          <w:p>
            <w:pPr>
              <w:jc w:val="left"/>
            </w:pPr>
            <w:r/>
            <w:r>
              <w:rPr>
                <w:b/>
                <w:color w:val="0D1B2A"/>
                <w:sz w:val="20"/>
              </w:rPr>
              <w:t>Phases</w:t>
            </w:r>
          </w:p>
        </w:tc>
        <w:tc>
          <w:tcPr>
            <w:tcW w:type="dxa" w:w="6236"/>
          </w:tcPr>
          <w:p>
            <w:pPr>
              <w:jc w:val="left"/>
            </w:pPr>
            <w:r/>
            <w:r>
              <w:rPr>
                <w:b w:val="0"/>
                <w:color w:val="1A1A1A"/>
                <w:sz w:val="20"/>
              </w:rPr>
              <w:t>4</w:t>
            </w:r>
          </w:p>
        </w:tc>
      </w:tr>
      <w:tr>
        <w:tc>
          <w:tcPr>
            <w:tcW w:type="dxa" w:w="2835"/>
            <w:shd w:val="clear" w:color="auto" w:fill="D6E4F7"/>
          </w:tcPr>
          <w:p>
            <w:pPr>
              <w:jc w:val="left"/>
            </w:pPr>
            <w:r/>
            <w:r>
              <w:rPr>
                <w:b/>
                <w:color w:val="0D1B2A"/>
                <w:sz w:val="20"/>
              </w:rPr>
              <w:t>Total Injects</w:t>
            </w:r>
          </w:p>
        </w:tc>
        <w:tc>
          <w:tcPr>
            <w:tcW w:type="dxa" w:w="6236"/>
            <w:shd w:val="clear" w:color="auto" w:fill="F0F2F4"/>
          </w:tcPr>
          <w:p>
            <w:pPr>
              <w:jc w:val="left"/>
            </w:pPr>
            <w:r/>
            <w:r>
              <w:rPr>
                <w:b w:val="0"/>
                <w:color w:val="1A1A1A"/>
                <w:sz w:val="20"/>
              </w:rPr>
              <w:t>11</w:t>
            </w:r>
          </w:p>
        </w:tc>
      </w:tr>
      <w:tr>
        <w:tc>
          <w:tcPr>
            <w:tcW w:type="dxa" w:w="2835"/>
            <w:shd w:val="clear" w:color="auto" w:fill="D6E4F7"/>
          </w:tcPr>
          <w:p>
            <w:pPr>
              <w:jc w:val="left"/>
            </w:pPr>
            <w:r/>
            <w:r>
              <w:rPr>
                <w:b/>
                <w:color w:val="0D1B2A"/>
                <w:sz w:val="20"/>
              </w:rPr>
              <w:t>Facilitator</w:t>
            </w:r>
          </w:p>
        </w:tc>
        <w:tc>
          <w:tcPr>
            <w:tcW w:type="dxa" w:w="6236"/>
          </w:tcPr>
          <w:p>
            <w:pPr>
              <w:jc w:val="left"/>
            </w:pPr>
            <w:r/>
            <w:r>
              <w:rPr>
                <w:b w:val="0"/>
                <w:color w:val="1A1A1A"/>
                <w:sz w:val="20"/>
              </w:rPr>
              <w:t>—</w:t>
            </w:r>
          </w:p>
        </w:tc>
      </w:tr>
      <w:tr>
        <w:tc>
          <w:tcPr>
            <w:tcW w:type="dxa" w:w="2835"/>
            <w:shd w:val="clear" w:color="auto" w:fill="D6E4F7"/>
          </w:tcPr>
          <w:p>
            <w:pPr>
              <w:jc w:val="left"/>
            </w:pPr>
            <w:r/>
            <w:r>
              <w:rPr>
                <w:b/>
                <w:color w:val="0D1B2A"/>
                <w:sz w:val="20"/>
              </w:rPr>
              <w:t>Risk Alignment</w:t>
            </w:r>
          </w:p>
        </w:tc>
        <w:tc>
          <w:tcPr>
            <w:tcW w:type="dxa" w:w="6236"/>
            <w:shd w:val="clear" w:color="auto" w:fill="F0F2F4"/>
          </w:tcPr>
          <w:p>
            <w:pPr>
              <w:jc w:val="left"/>
            </w:pPr>
            <w:r/>
            <w:r>
              <w:rPr>
                <w:b w:val="0"/>
                <w:color w:val="1A1A1A"/>
                <w:sz w:val="20"/>
              </w:rPr>
              <w:t>Loss of workforce, global uncertainty and enactment of BCPs</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3.  GOVERNANCE AND BCM PROGRAMME CONTEXT</w:t>
            </w:r>
          </w:p>
        </w:tc>
      </w:tr>
    </w:tbl>
    <w:p>
      <w:pPr>
        <w:spacing w:after="40"/>
      </w:pPr>
    </w:p>
    <w:p>
      <w:pPr>
        <w:spacing w:after="80"/>
      </w:pPr>
      <w:r>
        <w:rPr>
          <w:color w:val="1A1A1A"/>
          <w:sz w:val="20"/>
        </w:rPr>
        <w:t>This exercise is part of the organisation's annual BCM Validation Programme conducted under ISO 22301:2019 Clause 8.5 and BCI GPG 2018 PP6. Findings will be documented in an After Action Report (AAR), reviewed by the BCM Steering Committee, and actioned through the BCM Improvement Register.</w:t>
      </w:r>
    </w:p>
    <w:p>
      <w:pPr>
        <w:spacing w:before="200" w:after="40"/>
      </w:pPr>
      <w:r>
        <w:rPr>
          <w:b/>
          <w:color w:val="00447A"/>
          <w:sz w:val="22"/>
        </w:rPr>
        <w:t>Plans Under Test</w:t>
      </w:r>
    </w:p>
    <w:p>
      <w:pPr>
        <w:pStyle w:val="ListBullet"/>
      </w:pPr>
      <w:r>
        <w:rPr>
          <w:color w:val="1A1A1A"/>
          <w:sz w:val="20"/>
        </w:rPr>
        <w:t>Business Continuity Plan</w:t>
      </w:r>
    </w:p>
    <w:p>
      <w:pPr>
        <w:pStyle w:val="ListBullet"/>
      </w:pPr>
      <w:r>
        <w:rPr>
          <w:color w:val="1A1A1A"/>
          <w:sz w:val="20"/>
        </w:rPr>
        <w:t>Crisis Management Plan</w:t>
      </w:r>
    </w:p>
    <w:p>
      <w:pPr>
        <w:pStyle w:val="ListBullet"/>
      </w:pPr>
      <w:r>
        <w:rPr>
          <w:color w:val="1A1A1A"/>
          <w:sz w:val="20"/>
        </w:rPr>
        <w:t>Enterprise BCP</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4.  ROLES AND RESPONSIBILITIES</w:t>
            </w:r>
          </w:p>
        </w:tc>
      </w:tr>
    </w:tbl>
    <w:p>
      <w:pPr>
        <w:spacing w:after="40"/>
      </w:pP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2268"/>
            <w:shd w:val="clear" w:color="auto" w:fill="0D1B2A"/>
          </w:tcPr>
          <w:p>
            <w:pPr>
              <w:jc w:val="left"/>
            </w:pPr>
            <w:r/>
            <w:r>
              <w:rPr>
                <w:b/>
                <w:color w:val="FFFFFF"/>
                <w:sz w:val="18"/>
              </w:rPr>
              <w:t>Role</w:t>
            </w:r>
          </w:p>
        </w:tc>
        <w:tc>
          <w:tcPr>
            <w:tcW w:type="dxa" w:w="1984"/>
            <w:shd w:val="clear" w:color="auto" w:fill="0D1B2A"/>
          </w:tcPr>
          <w:p>
            <w:pPr>
              <w:jc w:val="left"/>
            </w:pPr>
            <w:r/>
            <w:r>
              <w:rPr>
                <w:b/>
                <w:color w:val="FFFFFF"/>
                <w:sz w:val="18"/>
              </w:rPr>
              <w:t>Responsible (R)</w:t>
            </w:r>
          </w:p>
        </w:tc>
        <w:tc>
          <w:tcPr>
            <w:tcW w:type="dxa" w:w="1417"/>
            <w:shd w:val="clear" w:color="auto" w:fill="0D1B2A"/>
          </w:tcPr>
          <w:p>
            <w:pPr>
              <w:jc w:val="left"/>
            </w:pPr>
            <w:r/>
            <w:r>
              <w:rPr>
                <w:b/>
                <w:color w:val="FFFFFF"/>
                <w:sz w:val="18"/>
              </w:rPr>
              <w:t>Accountable (A)</w:t>
            </w:r>
          </w:p>
        </w:tc>
        <w:tc>
          <w:tcPr>
            <w:tcW w:type="dxa" w:w="1701"/>
            <w:shd w:val="clear" w:color="auto" w:fill="0D1B2A"/>
          </w:tcPr>
          <w:p>
            <w:pPr>
              <w:jc w:val="left"/>
            </w:pPr>
            <w:r/>
            <w:r>
              <w:rPr>
                <w:b/>
                <w:color w:val="FFFFFF"/>
                <w:sz w:val="18"/>
              </w:rPr>
              <w:t>Consulted (C)</w:t>
            </w:r>
          </w:p>
        </w:tc>
        <w:tc>
          <w:tcPr>
            <w:tcW w:type="dxa" w:w="1984"/>
            <w:shd w:val="clear" w:color="auto" w:fill="0D1B2A"/>
          </w:tcPr>
          <w:p>
            <w:pPr>
              <w:jc w:val="left"/>
            </w:pPr>
            <w:r/>
            <w:r>
              <w:rPr>
                <w:b/>
                <w:color w:val="FFFFFF"/>
                <w:sz w:val="18"/>
              </w:rPr>
              <w:t>Informed (I)</w:t>
            </w:r>
          </w:p>
        </w:tc>
      </w:tr>
      <w:tr>
        <w:tc>
          <w:tcPr>
            <w:tcW w:type="dxa" w:w="2268"/>
          </w:tcPr>
          <w:p>
            <w:pPr>
              <w:jc w:val="left"/>
            </w:pPr>
            <w:r/>
            <w:r>
              <w:rPr>
                <w:b w:val="0"/>
                <w:color w:val="1A1A1A"/>
                <w:sz w:val="18"/>
              </w:rPr>
              <w:t>Exercise Facilitator</w:t>
            </w:r>
          </w:p>
        </w:tc>
        <w:tc>
          <w:tcPr>
            <w:tcW w:type="dxa" w:w="1984"/>
          </w:tcPr>
          <w:p>
            <w:pPr>
              <w:jc w:val="left"/>
            </w:pPr>
            <w:r/>
            <w:r>
              <w:rPr>
                <w:b w:val="0"/>
                <w:color w:val="1A1A1A"/>
                <w:sz w:val="18"/>
              </w:rPr>
              <w:t>Deliver exercise; manage MSEL; capture log</w:t>
            </w:r>
          </w:p>
        </w:tc>
        <w:tc>
          <w:tcPr>
            <w:tcW w:type="dxa" w:w="1417"/>
          </w:tcPr>
          <w:p>
            <w:pPr>
              <w:jc w:val="left"/>
            </w:pPr>
            <w:r/>
            <w:r>
              <w:rPr>
                <w:b w:val="0"/>
                <w:color w:val="1A1A1A"/>
                <w:sz w:val="18"/>
              </w:rPr>
              <w:t>Facilitator</w:t>
            </w:r>
          </w:p>
        </w:tc>
        <w:tc>
          <w:tcPr>
            <w:tcW w:type="dxa" w:w="1701"/>
          </w:tcPr>
          <w:p>
            <w:pPr>
              <w:jc w:val="left"/>
            </w:pPr>
            <w:r/>
            <w:r>
              <w:rPr>
                <w:b w:val="0"/>
                <w:color w:val="1A1A1A"/>
                <w:sz w:val="18"/>
              </w:rPr>
              <w:t>Observer, BCM Owner</w:t>
            </w:r>
          </w:p>
        </w:tc>
        <w:tc>
          <w:tcPr>
            <w:tcW w:type="dxa" w:w="1984"/>
          </w:tcPr>
          <w:p>
            <w:pPr>
              <w:jc w:val="left"/>
            </w:pPr>
            <w:r/>
            <w:r>
              <w:rPr>
                <w:b w:val="0"/>
                <w:color w:val="1A1A1A"/>
                <w:sz w:val="18"/>
              </w:rPr>
              <w:t>All Participants</w:t>
            </w:r>
          </w:p>
        </w:tc>
      </w:tr>
      <w:tr>
        <w:tc>
          <w:tcPr>
            <w:tcW w:type="dxa" w:w="2268"/>
            <w:shd w:val="clear" w:color="auto" w:fill="F0F2F4"/>
          </w:tcPr>
          <w:p>
            <w:pPr>
              <w:jc w:val="left"/>
            </w:pPr>
            <w:r/>
            <w:r>
              <w:rPr>
                <w:b w:val="0"/>
                <w:color w:val="1A1A1A"/>
                <w:sz w:val="18"/>
              </w:rPr>
              <w:t>Observer(s)</w:t>
            </w:r>
          </w:p>
        </w:tc>
        <w:tc>
          <w:tcPr>
            <w:tcW w:type="dxa" w:w="1984"/>
            <w:shd w:val="clear" w:color="auto" w:fill="F0F2F4"/>
          </w:tcPr>
          <w:p>
            <w:pPr>
              <w:jc w:val="left"/>
            </w:pPr>
            <w:r/>
            <w:r>
              <w:rPr>
                <w:b w:val="0"/>
                <w:color w:val="1A1A1A"/>
                <w:sz w:val="18"/>
              </w:rPr>
              <w:t>Evaluate against criteria; record findings</w:t>
            </w:r>
          </w:p>
        </w:tc>
        <w:tc>
          <w:tcPr>
            <w:tcW w:type="dxa" w:w="1417"/>
            <w:shd w:val="clear" w:color="auto" w:fill="F0F2F4"/>
          </w:tcPr>
          <w:p>
            <w:pPr>
              <w:jc w:val="left"/>
            </w:pPr>
            <w:r/>
            <w:r>
              <w:rPr>
                <w:b w:val="0"/>
                <w:color w:val="1A1A1A"/>
                <w:sz w:val="18"/>
              </w:rPr>
              <w:t>BCM Owner</w:t>
            </w:r>
          </w:p>
        </w:tc>
        <w:tc>
          <w:tcPr>
            <w:tcW w:type="dxa" w:w="1701"/>
            <w:shd w:val="clear" w:color="auto" w:fill="F0F2F4"/>
          </w:tcPr>
          <w:p>
            <w:pPr>
              <w:jc w:val="left"/>
            </w:pPr>
            <w:r/>
            <w:r>
              <w:rPr>
                <w:b w:val="0"/>
                <w:color w:val="1A1A1A"/>
                <w:sz w:val="18"/>
              </w:rPr>
              <w:t>Facilitator</w:t>
            </w:r>
          </w:p>
        </w:tc>
        <w:tc>
          <w:tcPr>
            <w:tcW w:type="dxa" w:w="1984"/>
            <w:shd w:val="clear" w:color="auto" w:fill="F0F2F4"/>
          </w:tcPr>
          <w:p>
            <w:pPr>
              <w:jc w:val="left"/>
            </w:pPr>
            <w:r/>
            <w:r>
              <w:rPr>
                <w:b w:val="0"/>
                <w:color w:val="1A1A1A"/>
                <w:sz w:val="18"/>
              </w:rPr>
              <w:t>BCM Owner</w:t>
            </w:r>
          </w:p>
        </w:tc>
      </w:tr>
      <w:tr>
        <w:tc>
          <w:tcPr>
            <w:tcW w:type="dxa" w:w="2268"/>
          </w:tcPr>
          <w:p>
            <w:pPr>
              <w:jc w:val="left"/>
            </w:pPr>
            <w:r/>
            <w:r>
              <w:rPr>
                <w:b w:val="0"/>
                <w:color w:val="1A1A1A"/>
                <w:sz w:val="18"/>
              </w:rPr>
              <w:t>BCM Programme Owner</w:t>
            </w:r>
          </w:p>
        </w:tc>
        <w:tc>
          <w:tcPr>
            <w:tcW w:type="dxa" w:w="1984"/>
          </w:tcPr>
          <w:p>
            <w:pPr>
              <w:jc w:val="left"/>
            </w:pPr>
            <w:r/>
            <w:r>
              <w:rPr>
                <w:b w:val="0"/>
                <w:color w:val="1A1A1A"/>
                <w:sz w:val="18"/>
              </w:rPr>
              <w:t>Exercise sponsor; receive AAR; own action register</w:t>
            </w:r>
          </w:p>
        </w:tc>
        <w:tc>
          <w:tcPr>
            <w:tcW w:type="dxa" w:w="1417"/>
          </w:tcPr>
          <w:p>
            <w:pPr>
              <w:jc w:val="left"/>
            </w:pPr>
            <w:r/>
            <w:r>
              <w:rPr>
                <w:b w:val="0"/>
                <w:color w:val="1A1A1A"/>
                <w:sz w:val="18"/>
              </w:rPr>
              <w:t>Exec Sponsor</w:t>
            </w:r>
          </w:p>
        </w:tc>
        <w:tc>
          <w:tcPr>
            <w:tcW w:type="dxa" w:w="1701"/>
          </w:tcPr>
          <w:p>
            <w:pPr>
              <w:jc w:val="left"/>
            </w:pPr>
            <w:r/>
            <w:r>
              <w:rPr>
                <w:b w:val="0"/>
                <w:color w:val="1A1A1A"/>
                <w:sz w:val="18"/>
              </w:rPr>
              <w:t>CEO / Risk Committee</w:t>
            </w:r>
          </w:p>
        </w:tc>
        <w:tc>
          <w:tcPr>
            <w:tcW w:type="dxa" w:w="1984"/>
          </w:tcPr>
          <w:p>
            <w:pPr>
              <w:jc w:val="left"/>
            </w:pPr>
            <w:r/>
            <w:r>
              <w:rPr>
                <w:b w:val="0"/>
                <w:color w:val="1A1A1A"/>
                <w:sz w:val="18"/>
              </w:rPr>
              <w:t>Board</w:t>
            </w:r>
          </w:p>
        </w:tc>
      </w:tr>
      <w:tr>
        <w:tc>
          <w:tcPr>
            <w:tcW w:type="dxa" w:w="2268"/>
            <w:shd w:val="clear" w:color="auto" w:fill="F0F2F4"/>
          </w:tcPr>
          <w:p>
            <w:pPr>
              <w:jc w:val="left"/>
            </w:pPr>
            <w:r/>
            <w:r>
              <w:rPr>
                <w:b w:val="0"/>
                <w:color w:val="1A1A1A"/>
                <w:sz w:val="18"/>
              </w:rPr>
              <w:t>Participants</w:t>
            </w:r>
          </w:p>
        </w:tc>
        <w:tc>
          <w:tcPr>
            <w:tcW w:type="dxa" w:w="1984"/>
            <w:shd w:val="clear" w:color="auto" w:fill="F0F2F4"/>
          </w:tcPr>
          <w:p>
            <w:pPr>
              <w:jc w:val="left"/>
            </w:pPr>
            <w:r/>
            <w:r>
              <w:rPr>
                <w:b w:val="0"/>
                <w:color w:val="1A1A1A"/>
                <w:sz w:val="18"/>
              </w:rPr>
              <w:t>Respond to injects; apply plans; make decisions</w:t>
            </w:r>
          </w:p>
        </w:tc>
        <w:tc>
          <w:tcPr>
            <w:tcW w:type="dxa" w:w="1417"/>
            <w:shd w:val="clear" w:color="auto" w:fill="F0F2F4"/>
          </w:tcPr>
          <w:p>
            <w:pPr>
              <w:jc w:val="left"/>
            </w:pPr>
            <w:r/>
            <w:r>
              <w:rPr>
                <w:b w:val="0"/>
                <w:color w:val="1A1A1A"/>
                <w:sz w:val="18"/>
              </w:rPr>
              <w:t>Line Managers</w:t>
            </w:r>
          </w:p>
        </w:tc>
        <w:tc>
          <w:tcPr>
            <w:tcW w:type="dxa" w:w="1701"/>
            <w:shd w:val="clear" w:color="auto" w:fill="F0F2F4"/>
          </w:tcPr>
          <w:p>
            <w:pPr>
              <w:jc w:val="left"/>
            </w:pPr>
            <w:r/>
            <w:r>
              <w:rPr>
                <w:b w:val="0"/>
                <w:color w:val="1A1A1A"/>
                <w:sz w:val="18"/>
              </w:rPr>
              <w:t>Facilitator</w:t>
            </w:r>
          </w:p>
        </w:tc>
        <w:tc>
          <w:tcPr>
            <w:tcW w:type="dxa" w:w="1984"/>
            <w:shd w:val="clear" w:color="auto" w:fill="F0F2F4"/>
          </w:tcPr>
          <w:p>
            <w:pPr>
              <w:jc w:val="left"/>
            </w:pPr>
            <w:r/>
            <w:r>
              <w:rPr>
                <w:b w:val="0"/>
                <w:color w:val="1A1A1A"/>
                <w:sz w:val="18"/>
              </w:rPr>
              <w:t>BCM Owner</w:t>
            </w:r>
          </w:p>
        </w:tc>
      </w:tr>
      <w:tr>
        <w:tc>
          <w:tcPr>
            <w:tcW w:type="dxa" w:w="2268"/>
          </w:tcPr>
          <w:p>
            <w:pPr>
              <w:jc w:val="left"/>
            </w:pPr>
            <w:r/>
            <w:r>
              <w:rPr>
                <w:b w:val="0"/>
                <w:color w:val="1A1A1A"/>
                <w:sz w:val="18"/>
              </w:rPr>
              <w:t>Scribe / Note-taker</w:t>
            </w:r>
          </w:p>
        </w:tc>
        <w:tc>
          <w:tcPr>
            <w:tcW w:type="dxa" w:w="1984"/>
          </w:tcPr>
          <w:p>
            <w:pPr>
              <w:jc w:val="left"/>
            </w:pPr>
            <w:r/>
            <w:r>
              <w:rPr>
                <w:b w:val="0"/>
                <w:color w:val="1A1A1A"/>
                <w:sz w:val="18"/>
              </w:rPr>
              <w:t>Record decisions, timestamps, and key observations</w:t>
            </w:r>
          </w:p>
        </w:tc>
        <w:tc>
          <w:tcPr>
            <w:tcW w:type="dxa" w:w="1417"/>
          </w:tcPr>
          <w:p>
            <w:pPr>
              <w:jc w:val="left"/>
            </w:pPr>
            <w:r/>
            <w:r>
              <w:rPr>
                <w:b w:val="0"/>
                <w:color w:val="1A1A1A"/>
                <w:sz w:val="18"/>
              </w:rPr>
              <w:t>Facilitator</w:t>
            </w:r>
          </w:p>
        </w:tc>
        <w:tc>
          <w:tcPr>
            <w:tcW w:type="dxa" w:w="1701"/>
          </w:tcPr>
          <w:p>
            <w:pPr>
              <w:jc w:val="left"/>
            </w:pPr>
            <w:r/>
            <w:r>
              <w:rPr>
                <w:b w:val="0"/>
                <w:color w:val="1A1A1A"/>
                <w:sz w:val="18"/>
              </w:rPr>
              <w:t>Observer</w:t>
            </w:r>
          </w:p>
        </w:tc>
        <w:tc>
          <w:tcPr>
            <w:tcW w:type="dxa" w:w="1984"/>
          </w:tcPr>
          <w:p>
            <w:pPr>
              <w:jc w:val="left"/>
            </w:pPr>
            <w:r/>
            <w:r>
              <w:rPr>
                <w:b w:val="0"/>
                <w:color w:val="1A1A1A"/>
                <w:sz w:val="18"/>
              </w:rPr>
              <w:t>BCM Owner</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5.  AIM AND LEARNING OBJECTIVES</w:t>
            </w:r>
          </w:p>
        </w:tc>
      </w:tr>
    </w:tbl>
    <w:p>
      <w:pPr>
        <w:spacing w:after="40"/>
      </w:pPr>
    </w:p>
    <w:p>
      <w:pPr>
        <w:spacing w:before="200" w:after="40"/>
      </w:pPr>
      <w:r>
        <w:rPr>
          <w:b/>
          <w:color w:val="00447A"/>
          <w:sz w:val="22"/>
        </w:rPr>
        <w:t>Exercise Aim</w:t>
      </w:r>
    </w:p>
    <w:p>
      <w:pPr>
        <w:spacing w:after="80"/>
      </w:pPr>
      <w:r>
        <w:rPr>
          <w:color w:val="1A1A1A"/>
          <w:sz w:val="20"/>
        </w:rPr>
        <w:t>To evaluate Barwon Water's preparedness and response capability in managing workforce disruptions due to a global pandemic.</w:t>
      </w:r>
    </w:p>
    <w:p>
      <w:pPr>
        <w:spacing w:before="200" w:after="40"/>
      </w:pPr>
      <w:r>
        <w:rPr>
          <w:b/>
          <w:color w:val="00447A"/>
          <w:sz w:val="22"/>
        </w:rPr>
        <w:t>Learning Objectives</w:t>
      </w:r>
    </w:p>
    <w:tbl>
      <w:tblPr>
        <w:tblStyle w:val="TableGrid"/>
        <w:tblW w:type="auto" w:w="0"/>
        <w:tblLook w:firstColumn="1" w:firstRow="1" w:lastColumn="0" w:lastRow="0" w:noHBand="0" w:noVBand="1" w:val="04A0"/>
      </w:tblPr>
      <w:tblGrid>
        <w:gridCol w:w="1881"/>
        <w:gridCol w:w="1881"/>
        <w:gridCol w:w="1881"/>
        <w:gridCol w:w="1881"/>
        <w:gridCol w:w="1881"/>
      </w:tblGrid>
      <w:tr>
        <w:tc>
          <w:tcPr>
            <w:tcW w:type="dxa" w:w="454"/>
            <w:shd w:val="clear" w:color="auto" w:fill="0D1B2A"/>
          </w:tcPr>
          <w:p>
            <w:pPr>
              <w:jc w:val="left"/>
            </w:pPr>
            <w:r/>
            <w:r>
              <w:rPr>
                <w:b/>
                <w:color w:val="FFFFFF"/>
                <w:sz w:val="18"/>
              </w:rPr>
              <w:t>#</w:t>
            </w:r>
          </w:p>
        </w:tc>
        <w:tc>
          <w:tcPr>
            <w:tcW w:type="dxa" w:w="3118"/>
            <w:shd w:val="clear" w:color="auto" w:fill="0D1B2A"/>
          </w:tcPr>
          <w:p>
            <w:pPr>
              <w:jc w:val="left"/>
            </w:pPr>
            <w:r/>
            <w:r>
              <w:rPr>
                <w:b/>
                <w:color w:val="FFFFFF"/>
                <w:sz w:val="18"/>
              </w:rPr>
              <w:t>Objective</w:t>
            </w:r>
          </w:p>
        </w:tc>
        <w:tc>
          <w:tcPr>
            <w:tcW w:type="dxa" w:w="1701"/>
            <w:shd w:val="clear" w:color="auto" w:fill="0D1B2A"/>
          </w:tcPr>
          <w:p>
            <w:pPr>
              <w:jc w:val="left"/>
            </w:pPr>
            <w:r/>
            <w:r>
              <w:rPr>
                <w:b/>
                <w:color w:val="FFFFFF"/>
                <w:sz w:val="18"/>
              </w:rPr>
              <w:t>Capability Area</w:t>
            </w:r>
          </w:p>
        </w:tc>
        <w:tc>
          <w:tcPr>
            <w:tcW w:type="dxa" w:w="2551"/>
            <w:shd w:val="clear" w:color="auto" w:fill="0D1B2A"/>
          </w:tcPr>
          <w:p>
            <w:pPr>
              <w:jc w:val="left"/>
            </w:pPr>
            <w:r/>
            <w:r>
              <w:rPr>
                <w:b/>
                <w:color w:val="FFFFFF"/>
                <w:sz w:val="18"/>
              </w:rPr>
              <w:t>Success Criteria</w:t>
            </w:r>
          </w:p>
        </w:tc>
        <w:tc>
          <w:tcPr>
            <w:tcW w:type="dxa" w:w="1531"/>
            <w:shd w:val="clear" w:color="auto" w:fill="0D1B2A"/>
          </w:tcPr>
          <w:p>
            <w:pPr>
              <w:jc w:val="left"/>
            </w:pPr>
            <w:r/>
            <w:r>
              <w:rPr>
                <w:b/>
                <w:color w:val="FFFFFF"/>
                <w:sz w:val="18"/>
              </w:rPr>
              <w:t>Evaluation Method</w:t>
            </w:r>
          </w:p>
        </w:tc>
      </w:tr>
      <w:tr>
        <w:tc>
          <w:tcPr>
            <w:tcW w:type="dxa" w:w="454"/>
          </w:tcPr>
          <w:p>
            <w:pPr>
              <w:jc w:val="left"/>
            </w:pPr>
            <w:r/>
            <w:r>
              <w:rPr>
                <w:b w:val="0"/>
                <w:color w:val="1A1A1A"/>
                <w:sz w:val="18"/>
              </w:rPr>
              <w:t>1</w:t>
            </w:r>
          </w:p>
        </w:tc>
        <w:tc>
          <w:tcPr>
            <w:tcW w:type="dxa" w:w="3118"/>
          </w:tcPr>
          <w:p>
            <w:pPr>
              <w:jc w:val="left"/>
            </w:pPr>
            <w:r/>
            <w:r>
              <w:rPr>
                <w:b w:val="0"/>
                <w:color w:val="1A1A1A"/>
                <w:sz w:val="18"/>
              </w:rPr>
              <w:t>Test the activation of the Crisis Management and Business Continuity Plans within 30 minutes of a pandemic alert.</w:t>
            </w:r>
          </w:p>
        </w:tc>
        <w:tc>
          <w:tcPr>
            <w:tcW w:type="dxa" w:w="1701"/>
          </w:tcPr>
          <w:p>
            <w:pPr>
              <w:jc w:val="left"/>
            </w:pPr>
            <w:r/>
            <w:r>
              <w:rPr>
                <w:b w:val="0"/>
                <w:color w:val="1A1A1A"/>
                <w:sz w:val="18"/>
              </w:rPr>
              <w:t>Incident Escalation</w:t>
            </w:r>
          </w:p>
        </w:tc>
        <w:tc>
          <w:tcPr>
            <w:tcW w:type="dxa" w:w="2551"/>
          </w:tcPr>
          <w:p>
            <w:pPr>
              <w:jc w:val="left"/>
            </w:pPr>
            <w:r/>
            <w:r>
              <w:rPr>
                <w:b w:val="0"/>
                <w:color w:val="1A1A1A"/>
                <w:sz w:val="18"/>
              </w:rPr>
              <w:t>Crisis Management Team convenes and actions initial response steps within 30 minutes of alert.</w:t>
            </w:r>
          </w:p>
        </w:tc>
        <w:tc>
          <w:tcPr>
            <w:tcW w:type="dxa" w:w="1531"/>
          </w:tcPr>
          <w:p>
            <w:pPr>
              <w:jc w:val="left"/>
            </w:pPr>
            <w:r/>
            <w:r>
              <w:rPr>
                <w:b w:val="0"/>
                <w:color w:val="1A1A1A"/>
                <w:sz w:val="18"/>
              </w:rPr>
              <w:t>checklist</w:t>
            </w:r>
          </w:p>
        </w:tc>
      </w:tr>
      <w:tr>
        <w:tc>
          <w:tcPr>
            <w:tcW w:type="dxa" w:w="454"/>
            <w:shd w:val="clear" w:color="auto" w:fill="F0F2F4"/>
          </w:tcPr>
          <w:p>
            <w:pPr>
              <w:jc w:val="left"/>
            </w:pPr>
            <w:r/>
            <w:r>
              <w:rPr>
                <w:b w:val="0"/>
                <w:color w:val="1A1A1A"/>
                <w:sz w:val="18"/>
              </w:rPr>
              <w:t>2</w:t>
            </w:r>
          </w:p>
        </w:tc>
        <w:tc>
          <w:tcPr>
            <w:tcW w:type="dxa" w:w="3118"/>
            <w:shd w:val="clear" w:color="auto" w:fill="F0F2F4"/>
          </w:tcPr>
          <w:p>
            <w:pPr>
              <w:jc w:val="left"/>
            </w:pPr>
            <w:r/>
            <w:r>
              <w:rPr>
                <w:b w:val="0"/>
                <w:color w:val="1A1A1A"/>
                <w:sz w:val="18"/>
              </w:rPr>
              <w:t>Validate the effectiveness of internal and external communications during a workforce disruption scenario.</w:t>
            </w:r>
          </w:p>
        </w:tc>
        <w:tc>
          <w:tcPr>
            <w:tcW w:type="dxa" w:w="1701"/>
            <w:shd w:val="clear" w:color="auto" w:fill="F0F2F4"/>
          </w:tcPr>
          <w:p>
            <w:pPr>
              <w:jc w:val="left"/>
            </w:pPr>
            <w:r/>
            <w:r>
              <w:rPr>
                <w:b w:val="0"/>
                <w:color w:val="1A1A1A"/>
                <w:sz w:val="18"/>
              </w:rPr>
              <w:t>Crisis Communications</w:t>
            </w:r>
          </w:p>
        </w:tc>
        <w:tc>
          <w:tcPr>
            <w:tcW w:type="dxa" w:w="2551"/>
            <w:shd w:val="clear" w:color="auto" w:fill="F0F2F4"/>
          </w:tcPr>
          <w:p>
            <w:pPr>
              <w:jc w:val="left"/>
            </w:pPr>
            <w:r/>
            <w:r>
              <w:rPr>
                <w:b w:val="0"/>
                <w:color w:val="1A1A1A"/>
                <w:sz w:val="18"/>
              </w:rPr>
              <w:t>Communications are timely, consistent, and align with the established crisis communications plan.</w:t>
            </w:r>
          </w:p>
        </w:tc>
        <w:tc>
          <w:tcPr>
            <w:tcW w:type="dxa" w:w="1531"/>
            <w:shd w:val="clear" w:color="auto" w:fill="F0F2F4"/>
          </w:tcPr>
          <w:p>
            <w:pPr>
              <w:jc w:val="left"/>
            </w:pPr>
            <w:r/>
            <w:r>
              <w:rPr>
                <w:b w:val="0"/>
                <w:color w:val="1A1A1A"/>
                <w:sz w:val="18"/>
              </w:rPr>
              <w:t>checklist</w:t>
            </w:r>
          </w:p>
        </w:tc>
      </w:tr>
      <w:tr>
        <w:tc>
          <w:tcPr>
            <w:tcW w:type="dxa" w:w="454"/>
          </w:tcPr>
          <w:p>
            <w:pPr>
              <w:jc w:val="left"/>
            </w:pPr>
            <w:r/>
            <w:r>
              <w:rPr>
                <w:b w:val="0"/>
                <w:color w:val="1A1A1A"/>
                <w:sz w:val="18"/>
              </w:rPr>
              <w:t>3</w:t>
            </w:r>
          </w:p>
        </w:tc>
        <w:tc>
          <w:tcPr>
            <w:tcW w:type="dxa" w:w="3118"/>
          </w:tcPr>
          <w:p>
            <w:pPr>
              <w:jc w:val="left"/>
            </w:pPr>
            <w:r/>
            <w:r>
              <w:rPr>
                <w:b w:val="0"/>
                <w:color w:val="1A1A1A"/>
                <w:sz w:val="18"/>
              </w:rPr>
              <w:t>Assess the ability to maintain critical water supply and wastewater management services with a reduced workforce.</w:t>
            </w:r>
          </w:p>
        </w:tc>
        <w:tc>
          <w:tcPr>
            <w:tcW w:type="dxa" w:w="1701"/>
          </w:tcPr>
          <w:p>
            <w:pPr>
              <w:jc w:val="left"/>
            </w:pPr>
            <w:r/>
            <w:r>
              <w:rPr>
                <w:b w:val="0"/>
                <w:color w:val="1A1A1A"/>
                <w:sz w:val="18"/>
              </w:rPr>
              <w:t>Service Continuity</w:t>
            </w:r>
          </w:p>
        </w:tc>
        <w:tc>
          <w:tcPr>
            <w:tcW w:type="dxa" w:w="2551"/>
          </w:tcPr>
          <w:p>
            <w:pPr>
              <w:jc w:val="left"/>
            </w:pPr>
            <w:r/>
            <w:r>
              <w:rPr>
                <w:b w:val="0"/>
                <w:color w:val="1A1A1A"/>
                <w:sz w:val="18"/>
              </w:rPr>
              <w:t>Critical services continue without interruption, meeting established Minimum Business Continuity Objectives (MBCO).</w:t>
            </w:r>
          </w:p>
        </w:tc>
        <w:tc>
          <w:tcPr>
            <w:tcW w:type="dxa" w:w="1531"/>
          </w:tcPr>
          <w:p>
            <w:pPr>
              <w:jc w:val="left"/>
            </w:pPr>
            <w:r/>
            <w:r>
              <w:rPr>
                <w:b w:val="0"/>
                <w:color w:val="1A1A1A"/>
                <w:sz w:val="18"/>
              </w:rPr>
              <w:t>checklist</w:t>
            </w:r>
          </w:p>
        </w:tc>
      </w:tr>
      <w:tr>
        <w:tc>
          <w:tcPr>
            <w:tcW w:type="dxa" w:w="454"/>
            <w:shd w:val="clear" w:color="auto" w:fill="F0F2F4"/>
          </w:tcPr>
          <w:p>
            <w:pPr>
              <w:jc w:val="left"/>
            </w:pPr>
            <w:r/>
            <w:r>
              <w:rPr>
                <w:b w:val="0"/>
                <w:color w:val="1A1A1A"/>
                <w:sz w:val="18"/>
              </w:rPr>
              <w:t>4</w:t>
            </w:r>
          </w:p>
        </w:tc>
        <w:tc>
          <w:tcPr>
            <w:tcW w:type="dxa" w:w="3118"/>
            <w:shd w:val="clear" w:color="auto" w:fill="F0F2F4"/>
          </w:tcPr>
          <w:p>
            <w:pPr>
              <w:jc w:val="left"/>
            </w:pPr>
            <w:r/>
            <w:r>
              <w:rPr>
                <w:b w:val="0"/>
                <w:color w:val="1A1A1A"/>
                <w:sz w:val="18"/>
              </w:rPr>
              <w:t>Evaluate decision-making processes for transitioning from response to recovery phases during the pandemic.</w:t>
            </w:r>
          </w:p>
        </w:tc>
        <w:tc>
          <w:tcPr>
            <w:tcW w:type="dxa" w:w="1701"/>
            <w:shd w:val="clear" w:color="auto" w:fill="F0F2F4"/>
          </w:tcPr>
          <w:p>
            <w:pPr>
              <w:jc w:val="left"/>
            </w:pPr>
            <w:r/>
            <w:r>
              <w:rPr>
                <w:b w:val="0"/>
                <w:color w:val="1A1A1A"/>
                <w:sz w:val="18"/>
              </w:rPr>
              <w:t>Decision-Making</w:t>
            </w:r>
          </w:p>
        </w:tc>
        <w:tc>
          <w:tcPr>
            <w:tcW w:type="dxa" w:w="2551"/>
            <w:shd w:val="clear" w:color="auto" w:fill="F0F2F4"/>
          </w:tcPr>
          <w:p>
            <w:pPr>
              <w:jc w:val="left"/>
            </w:pPr>
            <w:r/>
            <w:r>
              <w:rPr>
                <w:b w:val="0"/>
                <w:color w:val="1A1A1A"/>
                <w:sz w:val="18"/>
              </w:rPr>
              <w:t>Decisions to shift to recovery mode are made within 4 hours of stabilizing the workforce disruption situation.</w:t>
            </w:r>
          </w:p>
        </w:tc>
        <w:tc>
          <w:tcPr>
            <w:tcW w:type="dxa" w:w="1531"/>
            <w:shd w:val="clear" w:color="auto" w:fill="F0F2F4"/>
          </w:tcPr>
          <w:p>
            <w:pPr>
              <w:jc w:val="left"/>
            </w:pPr>
            <w:r/>
            <w:r>
              <w:rPr>
                <w:b w:val="0"/>
                <w:color w:val="1A1A1A"/>
                <w:sz w:val="18"/>
              </w:rPr>
              <w:t>checklist</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6.  SCENARIO DESIGN</w:t>
            </w:r>
          </w:p>
        </w:tc>
      </w:tr>
    </w:tbl>
    <w:p>
      <w:pPr>
        <w:spacing w:after="40"/>
      </w:pPr>
    </w:p>
    <w:p>
      <w:pPr>
        <w:spacing w:before="200" w:after="40"/>
      </w:pPr>
      <w:r>
        <w:rPr>
          <w:b/>
          <w:color w:val="00447A"/>
          <w:sz w:val="22"/>
        </w:rPr>
        <w:t>Scenario Narrative</w:t>
      </w:r>
    </w:p>
    <w:p>
      <w:pPr>
        <w:spacing w:after="80"/>
      </w:pPr>
      <w:r>
        <w:rPr>
          <w:color w:val="1A1A1A"/>
          <w:sz w:val="20"/>
        </w:rPr>
        <w:t>Barwon Water, a major regional water utility provider, is facing an unprecedented challenge as a rapidly spreading new variant of a global pandemic emerges. The pandemic primarily affects urban areas in Victoria, Australia, leading to a significant portion of the workforce being unable to report to work due to illness or quarantine measures. As the situation unfolds, the organisation struggles to maintain critical water supply and wastewater management services. Key services are at risk due to workforce shortages, and there is mounting pressure from regulators and the media to ensure continuity of essential services. The crisis management team must navigate the complexities of reduced staffing while managing external communications and stakeholder expectations.</w:t>
      </w:r>
    </w:p>
    <w:p>
      <w:pPr>
        <w:spacing w:before="200" w:after="40"/>
      </w:pPr>
      <w:r>
        <w:rPr>
          <w:b/>
          <w:color w:val="00447A"/>
          <w:sz w:val="22"/>
        </w:rPr>
        <w:t>Trigger Event</w:t>
      </w:r>
    </w:p>
    <w:p>
      <w:pPr>
        <w:spacing w:after="80"/>
      </w:pPr>
      <w:r>
        <w:rPr>
          <w:color w:val="1A1A1A"/>
          <w:sz w:val="20"/>
        </w:rPr>
        <w:t>At 08:00, the Chief Medical Officer issues a pandemic alert detailing a new variant of the virus spreading rapidly in Victoria, Australia, leading to immediate government-imposed restrictions and public health measures.</w:t>
      </w:r>
    </w:p>
    <w:p>
      <w:pPr>
        <w:spacing w:before="200" w:after="40"/>
      </w:pPr>
      <w:r>
        <w:rPr>
          <w:b/>
          <w:color w:val="00447A"/>
          <w:sz w:val="22"/>
        </w:rPr>
        <w:t>Known at Exercise Start</w:t>
      </w:r>
    </w:p>
    <w:p>
      <w:pPr>
        <w:spacing w:after="80"/>
      </w:pPr>
      <w:r>
        <w:rPr>
          <w:color w:val="1A1A1A"/>
          <w:sz w:val="20"/>
        </w:rPr>
        <w:t>- A pandemic alert has been issued for Victoria</w:t>
      </w:r>
    </w:p>
    <w:p>
      <w:pPr>
        <w:spacing w:after="80"/>
      </w:pPr>
      <w:r>
        <w:rPr>
          <w:color w:val="1A1A1A"/>
          <w:sz w:val="20"/>
        </w:rPr>
        <w:t>- Workforce numbers are expected to drop significantly</w:t>
      </w:r>
    </w:p>
    <w:p>
      <w:pPr>
        <w:spacing w:after="80"/>
      </w:pPr>
      <w:r>
        <w:rPr>
          <w:color w:val="1A1A1A"/>
          <w:sz w:val="20"/>
        </w:rPr>
        <w:t>- Government restrictions are in place, affecting movement and gatherings</w:t>
      </w:r>
    </w:p>
    <w:p>
      <w:pPr>
        <w:spacing w:after="80"/>
      </w:pPr>
      <w:r>
        <w:rPr>
          <w:color w:val="1A1A1A"/>
          <w:sz w:val="20"/>
        </w:rPr>
        <w:t>- Key customers and stakeholders are demanding continuity assurances</w:t>
      </w:r>
    </w:p>
    <w:p>
      <w:pPr>
        <w:spacing w:before="200" w:after="40"/>
      </w:pPr>
      <w:r>
        <w:rPr>
          <w:b/>
          <w:color w:val="00447A"/>
          <w:sz w:val="22"/>
        </w:rPr>
        <w:t>Unknown at Exercise Start</w:t>
      </w:r>
    </w:p>
    <w:p>
      <w:pPr>
        <w:spacing w:after="80"/>
      </w:pPr>
      <w:r>
        <w:rPr>
          <w:color w:val="1A1A1A"/>
          <w:sz w:val="20"/>
        </w:rPr>
        <w:t>- The exact impact on staff availability and operations</w:t>
      </w:r>
    </w:p>
    <w:p>
      <w:pPr>
        <w:spacing w:after="80"/>
      </w:pPr>
      <w:r>
        <w:rPr>
          <w:color w:val="1A1A1A"/>
          <w:sz w:val="20"/>
        </w:rPr>
        <w:t>- How long the restrictions will remain in place</w:t>
      </w:r>
    </w:p>
    <w:p>
      <w:pPr>
        <w:spacing w:after="80"/>
      </w:pPr>
      <w:r>
        <w:rPr>
          <w:color w:val="1A1A1A"/>
          <w:sz w:val="20"/>
        </w:rPr>
        <w:t>- The full extent of service disruptions</w:t>
      </w:r>
    </w:p>
    <w:p>
      <w:pPr>
        <w:spacing w:after="80"/>
      </w:pPr>
      <w:r>
        <w:rPr>
          <w:color w:val="1A1A1A"/>
          <w:sz w:val="20"/>
        </w:rPr>
        <w:t>- The specific expectations and requirements of regulators</w:t>
      </w:r>
    </w:p>
    <w:p>
      <w:pPr>
        <w:spacing w:before="200" w:after="40"/>
      </w:pPr>
      <w:r>
        <w:rPr>
          <w:b/>
          <w:color w:val="00447A"/>
          <w:sz w:val="22"/>
        </w:rPr>
        <w:t>Exercise Assumptions</w:t>
      </w:r>
    </w:p>
    <w:p>
      <w:pPr>
        <w:spacing w:after="80"/>
      </w:pPr>
      <w:r>
        <w:rPr>
          <w:color w:val="1A1A1A"/>
          <w:sz w:val="20"/>
        </w:rPr>
        <w:t>- The exercise simulates a worst-case scenario with a 30% workforce reduction</w:t>
      </w:r>
    </w:p>
    <w:p>
      <w:pPr>
        <w:spacing w:after="80"/>
      </w:pPr>
      <w:r>
        <w:rPr>
          <w:color w:val="1A1A1A"/>
          <w:sz w:val="20"/>
        </w:rPr>
        <w:t>- Communications systems remain operational throughout</w:t>
      </w:r>
    </w:p>
    <w:p>
      <w:pPr>
        <w:spacing w:after="80"/>
      </w:pPr>
      <w:r>
        <w:rPr>
          <w:color w:val="1A1A1A"/>
          <w:sz w:val="20"/>
        </w:rPr>
        <w:t>- No actual health risks to participants during the exercise</w:t>
      </w:r>
    </w:p>
    <w:p>
      <w:pPr>
        <w:spacing w:after="80"/>
      </w:pPr>
      <w:r>
        <w:rPr>
          <w:color w:val="1A1A1A"/>
          <w:sz w:val="20"/>
        </w:rPr>
        <w:t>- All actions are simulated and do not affect real operations</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7.  FACILITATION APPROACH</w:t>
            </w:r>
          </w:p>
        </w:tc>
      </w:tr>
    </w:tbl>
    <w:p>
      <w:pPr>
        <w:spacing w:after="40"/>
      </w:pPr>
    </w:p>
    <w:p>
      <w:pPr>
        <w:spacing w:after="80"/>
      </w:pPr>
      <w:r>
        <w:rPr>
          <w:color w:val="1A1A1A"/>
          <w:sz w:val="20"/>
        </w:rPr>
        <w:t>Deliver the exercise using the 10 / 70 / 20 structure: 10% briefing, 70% exercise, 20% hot debrief. Allow discussion to develop naturally before each inject. Probe with open questions if the group is not engaging with a critical decision point. Do not correct or coach during the exercise — note observations for the debrief.</w:t>
      </w:r>
    </w:p>
    <w:p>
      <w:pPr>
        <w:spacing w:before="200" w:after="40"/>
      </w:pPr>
      <w:r>
        <w:rPr>
          <w:b/>
          <w:color w:val="00447A"/>
          <w:sz w:val="22"/>
        </w:rPr>
        <w:t>Facilitation Principles</w:t>
      </w:r>
    </w:p>
    <w:p>
      <w:pPr>
        <w:pStyle w:val="ListBullet"/>
      </w:pPr>
      <w:r>
        <w:rPr>
          <w:color w:val="1A1A1A"/>
          <w:sz w:val="20"/>
        </w:rPr>
        <w:t>Read each inject clearly and allow 30 seconds before fielding questions</w:t>
      </w:r>
    </w:p>
    <w:p>
      <w:pPr>
        <w:pStyle w:val="ListBullet"/>
      </w:pPr>
      <w:r>
        <w:rPr>
          <w:color w:val="1A1A1A"/>
          <w:sz w:val="20"/>
        </w:rPr>
        <w:t>Do not add information not contained in the inject — preserve ambiguity</w:t>
      </w:r>
    </w:p>
    <w:p>
      <w:pPr>
        <w:pStyle w:val="ListBullet"/>
      </w:pPr>
      <w:r>
        <w:rPr>
          <w:color w:val="1A1A1A"/>
          <w:sz w:val="20"/>
        </w:rPr>
        <w:t>If participants are stuck: 'What does your plan say to do here?'</w:t>
      </w:r>
    </w:p>
    <w:p>
      <w:pPr>
        <w:pStyle w:val="ListBullet"/>
      </w:pPr>
      <w:r>
        <w:rPr>
          <w:color w:val="1A1A1A"/>
          <w:sz w:val="20"/>
        </w:rPr>
        <w:t>Record all decisions in the facilitator log with a timestamp and who decided</w:t>
      </w:r>
    </w:p>
    <w:p>
      <w:pPr>
        <w:pStyle w:val="ListBullet"/>
      </w:pPr>
      <w:r>
        <w:rPr>
          <w:color w:val="1A1A1A"/>
          <w:sz w:val="20"/>
        </w:rPr>
        <w:t>Use time pressure deliberately: 'You have 5 minutes to make this decision'</w:t>
      </w:r>
    </w:p>
    <w:p>
      <w:pPr>
        <w:pStyle w:val="ListBullet"/>
      </w:pPr>
      <w:r>
        <w:rPr>
          <w:color w:val="1A1A1A"/>
          <w:sz w:val="20"/>
        </w:rPr>
        <w:t>If an inject lands flat: 'So who owns this action?'</w:t>
      </w:r>
    </w:p>
    <w:p>
      <w:pPr>
        <w:pStyle w:val="ListBullet"/>
      </w:pPr>
      <w:r>
        <w:rPr>
          <w:color w:val="1A1A1A"/>
          <w:sz w:val="20"/>
        </w:rPr>
        <w:t>Do not correct wrong assumptions mid-exercise — note them for the debrief</w:t>
      </w:r>
    </w:p>
    <w:p>
      <w:pPr>
        <w:pStyle w:val="ListBullet"/>
      </w:pPr>
      <w:r>
        <w:rPr>
          <w:color w:val="1A1A1A"/>
          <w:sz w:val="20"/>
        </w:rPr>
        <w:t>Reserve the final 20% for hot debrief — protect this time rigorously</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8.  EXERCISE RISK ASSESSMENT</w:t>
            </w:r>
          </w:p>
        </w:tc>
      </w:tr>
    </w:tbl>
    <w:p>
      <w:pPr>
        <w:spacing w:after="40"/>
      </w:pPr>
    </w:p>
    <w:tbl>
      <w:tblPr>
        <w:tblStyle w:val="TableGrid"/>
        <w:tblW w:type="auto" w:w="0"/>
        <w:tblLook w:firstColumn="1" w:firstRow="1" w:lastColumn="0" w:lastRow="0" w:noHBand="0" w:noVBand="1" w:val="04A0"/>
      </w:tblPr>
      <w:tblGrid>
        <w:gridCol w:w="2351"/>
        <w:gridCol w:w="2351"/>
        <w:gridCol w:w="2351"/>
        <w:gridCol w:w="2351"/>
      </w:tblGrid>
      <w:tr>
        <w:tc>
          <w:tcPr>
            <w:tcW w:type="dxa" w:w="3685"/>
            <w:shd w:val="clear" w:color="auto" w:fill="0D1B2A"/>
          </w:tcPr>
          <w:p>
            <w:pPr>
              <w:jc w:val="left"/>
            </w:pPr>
            <w:r/>
            <w:r>
              <w:rPr>
                <w:b/>
                <w:color w:val="FFFFFF"/>
                <w:sz w:val="18"/>
              </w:rPr>
              <w:t>Risk</w:t>
            </w:r>
          </w:p>
        </w:tc>
        <w:tc>
          <w:tcPr>
            <w:tcW w:type="dxa" w:w="1417"/>
            <w:shd w:val="clear" w:color="auto" w:fill="0D1B2A"/>
          </w:tcPr>
          <w:p>
            <w:pPr>
              <w:jc w:val="left"/>
            </w:pPr>
            <w:r/>
            <w:r>
              <w:rPr>
                <w:b/>
                <w:color w:val="FFFFFF"/>
                <w:sz w:val="18"/>
              </w:rPr>
              <w:t>Likelihood</w:t>
            </w:r>
          </w:p>
        </w:tc>
        <w:tc>
          <w:tcPr>
            <w:tcW w:type="dxa" w:w="3402"/>
            <w:shd w:val="clear" w:color="auto" w:fill="0D1B2A"/>
          </w:tcPr>
          <w:p>
            <w:pPr>
              <w:jc w:val="left"/>
            </w:pPr>
            <w:r/>
            <w:r>
              <w:rPr>
                <w:b/>
                <w:color w:val="FFFFFF"/>
                <w:sz w:val="18"/>
              </w:rPr>
              <w:t>Mitigation</w:t>
            </w:r>
          </w:p>
        </w:tc>
        <w:tc>
          <w:tcPr>
            <w:tcW w:type="dxa" w:w="850"/>
            <w:shd w:val="clear" w:color="auto" w:fill="0D1B2A"/>
          </w:tcPr>
          <w:p>
            <w:pPr>
              <w:jc w:val="left"/>
            </w:pPr>
            <w:r/>
            <w:r>
              <w:rPr>
                <w:b/>
                <w:color w:val="FFFFFF"/>
                <w:sz w:val="18"/>
              </w:rPr>
              <w:t>Owner</w:t>
            </w:r>
          </w:p>
        </w:tc>
      </w:tr>
      <w:tr>
        <w:tc>
          <w:tcPr>
            <w:tcW w:type="dxa" w:w="3685"/>
          </w:tcPr>
          <w:p>
            <w:pPr>
              <w:jc w:val="left"/>
            </w:pPr>
            <w:r/>
            <w:r>
              <w:rPr>
                <w:b w:val="0"/>
                <w:color w:val="1A1A1A"/>
                <w:sz w:val="18"/>
              </w:rPr>
              <w:t>Exercise scenario becomes reality ('No Duff')</w:t>
            </w:r>
          </w:p>
        </w:tc>
        <w:tc>
          <w:tcPr>
            <w:tcW w:type="dxa" w:w="1417"/>
          </w:tcPr>
          <w:p>
            <w:pPr>
              <w:jc w:val="left"/>
            </w:pPr>
            <w:r/>
            <w:r>
              <w:rPr>
                <w:b w:val="0"/>
                <w:color w:val="1A1A1A"/>
                <w:sz w:val="18"/>
              </w:rPr>
              <w:t>High</w:t>
            </w:r>
          </w:p>
        </w:tc>
        <w:tc>
          <w:tcPr>
            <w:tcW w:type="dxa" w:w="3402"/>
          </w:tcPr>
          <w:p>
            <w:pPr>
              <w:jc w:val="left"/>
            </w:pPr>
            <w:r/>
            <w:r>
              <w:rPr>
                <w:b w:val="0"/>
                <w:color w:val="1A1A1A"/>
                <w:sz w:val="18"/>
              </w:rPr>
              <w:t>Suspend immediately; invoke real response</w:t>
            </w:r>
          </w:p>
        </w:tc>
        <w:tc>
          <w:tcPr>
            <w:tcW w:type="dxa" w:w="850"/>
          </w:tcPr>
          <w:p>
            <w:pPr>
              <w:jc w:val="left"/>
            </w:pPr>
            <w:r/>
            <w:r>
              <w:rPr>
                <w:b w:val="0"/>
                <w:color w:val="1A1A1A"/>
                <w:sz w:val="18"/>
              </w:rPr>
              <w:t>Facilitator</w:t>
            </w:r>
          </w:p>
        </w:tc>
      </w:tr>
      <w:tr>
        <w:tc>
          <w:tcPr>
            <w:tcW w:type="dxa" w:w="3685"/>
            <w:shd w:val="clear" w:color="auto" w:fill="F0F2F4"/>
          </w:tcPr>
          <w:p>
            <w:pPr>
              <w:jc w:val="left"/>
            </w:pPr>
            <w:r/>
            <w:r>
              <w:rPr>
                <w:b w:val="0"/>
                <w:color w:val="1A1A1A"/>
                <w:sz w:val="18"/>
              </w:rPr>
              <w:t>Key participant absent on the day</w:t>
            </w:r>
          </w:p>
        </w:tc>
        <w:tc>
          <w:tcPr>
            <w:tcW w:type="dxa" w:w="1417"/>
            <w:shd w:val="clear" w:color="auto" w:fill="F0F2F4"/>
          </w:tcPr>
          <w:p>
            <w:pPr>
              <w:jc w:val="left"/>
            </w:pPr>
            <w:r/>
            <w:r>
              <w:rPr>
                <w:b w:val="0"/>
                <w:color w:val="1A1A1A"/>
                <w:sz w:val="18"/>
              </w:rPr>
              <w:t>Medium</w:t>
            </w:r>
          </w:p>
        </w:tc>
        <w:tc>
          <w:tcPr>
            <w:tcW w:type="dxa" w:w="3402"/>
            <w:shd w:val="clear" w:color="auto" w:fill="F0F2F4"/>
          </w:tcPr>
          <w:p>
            <w:pPr>
              <w:jc w:val="left"/>
            </w:pPr>
            <w:r/>
            <w:r>
              <w:rPr>
                <w:b w:val="0"/>
                <w:color w:val="1A1A1A"/>
                <w:sz w:val="18"/>
              </w:rPr>
              <w:t>Adjust roles; redistribute responsibilities</w:t>
            </w:r>
          </w:p>
        </w:tc>
        <w:tc>
          <w:tcPr>
            <w:tcW w:type="dxa" w:w="850"/>
            <w:shd w:val="clear" w:color="auto" w:fill="F0F2F4"/>
          </w:tcPr>
          <w:p>
            <w:pPr>
              <w:jc w:val="left"/>
            </w:pPr>
            <w:r/>
            <w:r>
              <w:rPr>
                <w:b w:val="0"/>
                <w:color w:val="1A1A1A"/>
                <w:sz w:val="18"/>
              </w:rPr>
              <w:t>Facilitator</w:t>
            </w:r>
          </w:p>
        </w:tc>
      </w:tr>
      <w:tr>
        <w:tc>
          <w:tcPr>
            <w:tcW w:type="dxa" w:w="3685"/>
          </w:tcPr>
          <w:p>
            <w:pPr>
              <w:jc w:val="left"/>
            </w:pPr>
            <w:r/>
            <w:r>
              <w:rPr>
                <w:b w:val="0"/>
                <w:color w:val="1A1A1A"/>
                <w:sz w:val="18"/>
              </w:rPr>
              <w:t>Exercise scenario causes participant distress</w:t>
            </w:r>
          </w:p>
        </w:tc>
        <w:tc>
          <w:tcPr>
            <w:tcW w:type="dxa" w:w="1417"/>
          </w:tcPr>
          <w:p>
            <w:pPr>
              <w:jc w:val="left"/>
            </w:pPr>
            <w:r/>
            <w:r>
              <w:rPr>
                <w:b w:val="0"/>
                <w:color w:val="1A1A1A"/>
                <w:sz w:val="18"/>
              </w:rPr>
              <w:t>Low</w:t>
            </w:r>
          </w:p>
        </w:tc>
        <w:tc>
          <w:tcPr>
            <w:tcW w:type="dxa" w:w="3402"/>
          </w:tcPr>
          <w:p>
            <w:pPr>
              <w:jc w:val="left"/>
            </w:pPr>
            <w:r/>
            <w:r>
              <w:rPr>
                <w:b w:val="0"/>
                <w:color w:val="1A1A1A"/>
                <w:sz w:val="18"/>
              </w:rPr>
              <w:t>Pause; apply welfare protocols; suspend if needed</w:t>
            </w:r>
          </w:p>
        </w:tc>
        <w:tc>
          <w:tcPr>
            <w:tcW w:type="dxa" w:w="850"/>
          </w:tcPr>
          <w:p>
            <w:pPr>
              <w:jc w:val="left"/>
            </w:pPr>
            <w:r/>
            <w:r>
              <w:rPr>
                <w:b w:val="0"/>
                <w:color w:val="1A1A1A"/>
                <w:sz w:val="18"/>
              </w:rPr>
              <w:t>Facilitator</w:t>
            </w:r>
          </w:p>
        </w:tc>
      </w:tr>
      <w:tr>
        <w:tc>
          <w:tcPr>
            <w:tcW w:type="dxa" w:w="3685"/>
            <w:shd w:val="clear" w:color="auto" w:fill="F0F2F4"/>
          </w:tcPr>
          <w:p>
            <w:pPr>
              <w:jc w:val="left"/>
            </w:pPr>
            <w:r/>
            <w:r>
              <w:rPr>
                <w:b w:val="0"/>
                <w:color w:val="1A1A1A"/>
                <w:sz w:val="18"/>
              </w:rPr>
              <w:t>Inject reveals real vulnerability</w:t>
            </w:r>
          </w:p>
        </w:tc>
        <w:tc>
          <w:tcPr>
            <w:tcW w:type="dxa" w:w="1417"/>
            <w:shd w:val="clear" w:color="auto" w:fill="F0F2F4"/>
          </w:tcPr>
          <w:p>
            <w:pPr>
              <w:jc w:val="left"/>
            </w:pPr>
            <w:r/>
            <w:r>
              <w:rPr>
                <w:b w:val="0"/>
                <w:color w:val="1A1A1A"/>
                <w:sz w:val="18"/>
              </w:rPr>
              <w:t>Medium</w:t>
            </w:r>
          </w:p>
        </w:tc>
        <w:tc>
          <w:tcPr>
            <w:tcW w:type="dxa" w:w="3402"/>
            <w:shd w:val="clear" w:color="auto" w:fill="F0F2F4"/>
          </w:tcPr>
          <w:p>
            <w:pPr>
              <w:jc w:val="left"/>
            </w:pPr>
            <w:r/>
            <w:r>
              <w:rPr>
                <w:b w:val="0"/>
                <w:color w:val="1A1A1A"/>
                <w:sz w:val="18"/>
              </w:rPr>
              <w:t>Note; debrief after exercise; do not explore further in session</w:t>
            </w:r>
          </w:p>
        </w:tc>
        <w:tc>
          <w:tcPr>
            <w:tcW w:type="dxa" w:w="850"/>
            <w:shd w:val="clear" w:color="auto" w:fill="F0F2F4"/>
          </w:tcPr>
          <w:p>
            <w:pPr>
              <w:jc w:val="left"/>
            </w:pPr>
            <w:r/>
            <w:r>
              <w:rPr>
                <w:b w:val="0"/>
                <w:color w:val="1A1A1A"/>
                <w:sz w:val="18"/>
              </w:rPr>
              <w:t>BCM Owner</w:t>
            </w:r>
          </w:p>
        </w:tc>
      </w:tr>
      <w:tr>
        <w:tc>
          <w:tcPr>
            <w:tcW w:type="dxa" w:w="3685"/>
          </w:tcPr>
          <w:p>
            <w:pPr>
              <w:jc w:val="left"/>
            </w:pPr>
            <w:r/>
            <w:r>
              <w:rPr>
                <w:b w:val="0"/>
                <w:color w:val="1A1A1A"/>
                <w:sz w:val="18"/>
              </w:rPr>
              <w:t>Over-confidence — team dismisses scenario</w:t>
            </w:r>
          </w:p>
        </w:tc>
        <w:tc>
          <w:tcPr>
            <w:tcW w:type="dxa" w:w="1417"/>
          </w:tcPr>
          <w:p>
            <w:pPr>
              <w:jc w:val="left"/>
            </w:pPr>
            <w:r/>
            <w:r>
              <w:rPr>
                <w:b w:val="0"/>
                <w:color w:val="1A1A1A"/>
                <w:sz w:val="18"/>
              </w:rPr>
              <w:t>Medium</w:t>
            </w:r>
          </w:p>
        </w:tc>
        <w:tc>
          <w:tcPr>
            <w:tcW w:type="dxa" w:w="3402"/>
          </w:tcPr>
          <w:p>
            <w:pPr>
              <w:jc w:val="left"/>
            </w:pPr>
            <w:r/>
            <w:r>
              <w:rPr>
                <w:b w:val="0"/>
                <w:color w:val="1A1A1A"/>
                <w:sz w:val="18"/>
              </w:rPr>
              <w:t>Introduce complication inject; escalate stakes</w:t>
            </w:r>
          </w:p>
        </w:tc>
        <w:tc>
          <w:tcPr>
            <w:tcW w:type="dxa" w:w="850"/>
          </w:tcPr>
          <w:p>
            <w:pPr>
              <w:jc w:val="left"/>
            </w:pPr>
            <w:r/>
            <w:r>
              <w:rPr>
                <w:b w:val="0"/>
                <w:color w:val="1A1A1A"/>
                <w:sz w:val="18"/>
              </w:rPr>
              <w:t>Facilitator</w:t>
            </w:r>
          </w:p>
        </w:tc>
      </w:tr>
      <w:tr>
        <w:tc>
          <w:tcPr>
            <w:tcW w:type="dxa" w:w="3685"/>
            <w:shd w:val="clear" w:color="auto" w:fill="F0F2F4"/>
          </w:tcPr>
          <w:p>
            <w:pPr>
              <w:jc w:val="left"/>
            </w:pPr>
            <w:r/>
            <w:r>
              <w:rPr>
                <w:b w:val="0"/>
                <w:color w:val="1A1A1A"/>
                <w:sz w:val="18"/>
              </w:rPr>
              <w:t>Technology failure during exercise</w:t>
            </w:r>
          </w:p>
        </w:tc>
        <w:tc>
          <w:tcPr>
            <w:tcW w:type="dxa" w:w="1417"/>
            <w:shd w:val="clear" w:color="auto" w:fill="F0F2F4"/>
          </w:tcPr>
          <w:p>
            <w:pPr>
              <w:jc w:val="left"/>
            </w:pPr>
            <w:r/>
            <w:r>
              <w:rPr>
                <w:b w:val="0"/>
                <w:color w:val="1A1A1A"/>
                <w:sz w:val="18"/>
              </w:rPr>
              <w:t>Low</w:t>
            </w:r>
          </w:p>
        </w:tc>
        <w:tc>
          <w:tcPr>
            <w:tcW w:type="dxa" w:w="3402"/>
            <w:shd w:val="clear" w:color="auto" w:fill="F0F2F4"/>
          </w:tcPr>
          <w:p>
            <w:pPr>
              <w:jc w:val="left"/>
            </w:pPr>
            <w:r/>
            <w:r>
              <w:rPr>
                <w:b w:val="0"/>
                <w:color w:val="1A1A1A"/>
                <w:sz w:val="18"/>
              </w:rPr>
              <w:t>Revert to printed materials; continue</w:t>
            </w:r>
          </w:p>
        </w:tc>
        <w:tc>
          <w:tcPr>
            <w:tcW w:type="dxa" w:w="850"/>
            <w:shd w:val="clear" w:color="auto" w:fill="F0F2F4"/>
          </w:tcPr>
          <w:p>
            <w:pPr>
              <w:jc w:val="left"/>
            </w:pPr>
            <w:r/>
            <w:r>
              <w:rPr>
                <w:b w:val="0"/>
                <w:color w:val="1A1A1A"/>
                <w:sz w:val="18"/>
              </w:rPr>
              <w:t>Facilitator</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9.  MASTER SCENARIO EVENTS LIST (MSEL)</w:t>
            </w:r>
          </w:p>
        </w:tc>
      </w:tr>
    </w:tbl>
    <w:p>
      <w:pPr>
        <w:spacing w:after="40"/>
      </w:pPr>
    </w:p>
    <w:p>
      <w:pPr>
        <w:spacing w:after="80"/>
      </w:pPr>
      <w:r>
        <w:rPr>
          <w:color w:val="1A1A1A"/>
          <w:sz w:val="20"/>
        </w:rPr>
        <w:t>The MSEL below contains all injects for this exercise in sequence. Each inject specifies the delivery time, channel, directed recipient, full inject text, expected participant actions, and evaluation criteria.</w:t>
      </w:r>
    </w:p>
    <w:p>
      <w:pPr>
        <w:spacing w:before="200" w:after="40"/>
      </w:pPr>
      <w:r>
        <w:rPr>
          <w:b/>
          <w:color w:val="00447A"/>
          <w:sz w:val="22"/>
        </w:rPr>
        <w:t>Phase: Activation and Initial Response</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1</w:t>
            </w:r>
          </w:p>
        </w:tc>
        <w:tc>
          <w:tcPr>
            <w:tcW w:type="dxa" w:w="737"/>
          </w:tcPr>
          <w:p>
            <w:pPr>
              <w:jc w:val="left"/>
            </w:pPr>
            <w:r/>
            <w:r>
              <w:rPr>
                <w:b w:val="0"/>
                <w:color w:val="1A1A1A"/>
                <w:sz w:val="18"/>
              </w:rPr>
              <w:t>T+5m</w:t>
            </w:r>
          </w:p>
        </w:tc>
        <w:tc>
          <w:tcPr>
            <w:tcW w:type="dxa" w:w="1417"/>
          </w:tcPr>
          <w:p>
            <w:pPr>
              <w:jc w:val="left"/>
            </w:pPr>
            <w:r/>
            <w:r>
              <w:rPr>
                <w:b w:val="0"/>
                <w:color w:val="1A1A1A"/>
                <w:sz w:val="18"/>
              </w:rPr>
              <w:t>Information</w:t>
              <w:br/>
              <w:t>Email</w:t>
            </w:r>
          </w:p>
        </w:tc>
        <w:tc>
          <w:tcPr>
            <w:tcW w:type="dxa" w:w="3685"/>
          </w:tcPr>
          <w:p>
            <w:pPr>
              <w:jc w:val="left"/>
            </w:pPr>
            <w:r/>
            <w:r>
              <w:rPr>
                <w:b w:val="0"/>
                <w:color w:val="1A1A1A"/>
                <w:sz w:val="18"/>
              </w:rPr>
              <w:t>FROM: National Health Authority</w:t>
              <w:br/>
              <w:t>Subject: Immediate Action Required: Pandemic Alert</w:t>
              <w:br/>
              <w:br/>
              <w:t>Dear Team,</w:t>
              <w:br/>
              <w:br/>
              <w:t>A pandemic alert has been issued for a new virus variant affecting urban areas in Victoria. Immediate activation of your Crisis Management and Business Continuity Plans is required. Please convene your teams and confirm activation within 30 minutes.</w:t>
              <w:br/>
              <w:br/>
              <w:t>Regards,</w:t>
              <w:br/>
              <w:t>Health Authority</w:t>
              <w:br/>
              <w:t>[Directed to: Crisis Management Team]</w:t>
            </w:r>
          </w:p>
        </w:tc>
        <w:tc>
          <w:tcPr>
            <w:tcW w:type="dxa" w:w="2268"/>
          </w:tcPr>
          <w:p>
            <w:pPr>
              <w:jc w:val="left"/>
            </w:pPr>
            <w:r/>
            <w:r>
              <w:rPr>
                <w:b w:val="0"/>
                <w:color w:val="1A1A1A"/>
                <w:sz w:val="18"/>
              </w:rPr>
              <w:t>Crisis Management Team convenes and initiates response.</w:t>
            </w:r>
          </w:p>
        </w:tc>
        <w:tc>
          <w:tcPr>
            <w:tcW w:type="dxa" w:w="794"/>
          </w:tcPr>
          <w:p>
            <w:pPr>
              <w:jc w:val="left"/>
            </w:pPr>
            <w:r/>
            <w:r>
              <w:rPr>
                <w:b w:val="0"/>
                <w:color w:val="1A1A1A"/>
                <w:sz w:val="18"/>
              </w:rPr>
              <w:t>Response initiated within 30 minutes.</w:t>
            </w:r>
          </w:p>
        </w:tc>
      </w:tr>
      <w:tr>
        <w:tc>
          <w:tcPr>
            <w:tcW w:type="dxa" w:w="454"/>
            <w:shd w:val="clear" w:color="auto" w:fill="F0F2F4"/>
          </w:tcPr>
          <w:p>
            <w:pPr>
              <w:jc w:val="left"/>
            </w:pPr>
            <w:r/>
            <w:r>
              <w:rPr>
                <w:b w:val="0"/>
                <w:color w:val="1A1A1A"/>
                <w:sz w:val="18"/>
              </w:rPr>
              <w:t>2</w:t>
            </w:r>
          </w:p>
        </w:tc>
        <w:tc>
          <w:tcPr>
            <w:tcW w:type="dxa" w:w="737"/>
            <w:shd w:val="clear" w:color="auto" w:fill="F0F2F4"/>
          </w:tcPr>
          <w:p>
            <w:pPr>
              <w:jc w:val="left"/>
            </w:pPr>
            <w:r/>
            <w:r>
              <w:rPr>
                <w:b w:val="0"/>
                <w:color w:val="1A1A1A"/>
                <w:sz w:val="18"/>
              </w:rPr>
              <w:t>T+15m</w:t>
            </w:r>
          </w:p>
        </w:tc>
        <w:tc>
          <w:tcPr>
            <w:tcW w:type="dxa" w:w="1417"/>
            <w:shd w:val="clear" w:color="auto" w:fill="F0F2F4"/>
          </w:tcPr>
          <w:p>
            <w:pPr>
              <w:jc w:val="left"/>
            </w:pPr>
            <w:r/>
            <w:r>
              <w:rPr>
                <w:b w:val="0"/>
                <w:color w:val="1A1A1A"/>
                <w:sz w:val="18"/>
              </w:rPr>
              <w:t>Information</w:t>
              <w:br/>
              <w:t>Teams</w:t>
            </w:r>
          </w:p>
        </w:tc>
        <w:tc>
          <w:tcPr>
            <w:tcW w:type="dxa" w:w="3685"/>
            <w:shd w:val="clear" w:color="auto" w:fill="F0F2F4"/>
          </w:tcPr>
          <w:p>
            <w:pPr>
              <w:jc w:val="left"/>
            </w:pPr>
            <w:r/>
            <w:r>
              <w:rPr>
                <w:b w:val="0"/>
                <w:color w:val="1A1A1A"/>
                <w:sz w:val="18"/>
              </w:rPr>
              <w:t>FROM: HR Department</w:t>
              <w:br/>
              <w:t>Urgent update: 30% workforce out sick/quarantined. Immediate action needed to manage ops.</w:t>
              <w:br/>
              <w:t>[Directed to: Crisis Management Team]</w:t>
            </w:r>
          </w:p>
        </w:tc>
        <w:tc>
          <w:tcPr>
            <w:tcW w:type="dxa" w:w="2268"/>
            <w:shd w:val="clear" w:color="auto" w:fill="F0F2F4"/>
          </w:tcPr>
          <w:p>
            <w:pPr>
              <w:jc w:val="left"/>
            </w:pPr>
            <w:r/>
            <w:r>
              <w:rPr>
                <w:b w:val="0"/>
                <w:color w:val="1A1A1A"/>
                <w:sz w:val="18"/>
              </w:rPr>
              <w:t>Discuss workforce management and prioritize critical functions.</w:t>
            </w:r>
          </w:p>
        </w:tc>
        <w:tc>
          <w:tcPr>
            <w:tcW w:type="dxa" w:w="794"/>
            <w:shd w:val="clear" w:color="auto" w:fill="F0F2F4"/>
          </w:tcPr>
          <w:p>
            <w:pPr>
              <w:jc w:val="left"/>
            </w:pPr>
            <w:r/>
            <w:r>
              <w:rPr>
                <w:b w:val="0"/>
                <w:color w:val="1A1A1A"/>
                <w:sz w:val="18"/>
              </w:rPr>
              <w:t>Proactive workforce management strategies discussed.</w:t>
            </w:r>
          </w:p>
        </w:tc>
      </w:tr>
    </w:tbl>
    <w:p>
      <w:pPr>
        <w:spacing w:after="80"/>
      </w:pPr>
    </w:p>
    <w:p>
      <w:pPr>
        <w:spacing w:before="200" w:after="40"/>
      </w:pPr>
      <w:r>
        <w:rPr>
          <w:b/>
          <w:color w:val="00447A"/>
          <w:sz w:val="22"/>
        </w:rPr>
        <w:t>Phase: Communication and Coordination</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3</w:t>
            </w:r>
          </w:p>
        </w:tc>
        <w:tc>
          <w:tcPr>
            <w:tcW w:type="dxa" w:w="737"/>
          </w:tcPr>
          <w:p>
            <w:pPr>
              <w:jc w:val="left"/>
            </w:pPr>
            <w:r/>
            <w:r>
              <w:rPr>
                <w:b w:val="0"/>
                <w:color w:val="1A1A1A"/>
                <w:sz w:val="18"/>
              </w:rPr>
              <w:t>T+35m</w:t>
            </w:r>
          </w:p>
        </w:tc>
        <w:tc>
          <w:tcPr>
            <w:tcW w:type="dxa" w:w="1417"/>
          </w:tcPr>
          <w:p>
            <w:pPr>
              <w:jc w:val="left"/>
            </w:pPr>
            <w:r/>
            <w:r>
              <w:rPr>
                <w:b w:val="0"/>
                <w:color w:val="1A1A1A"/>
                <w:sz w:val="18"/>
              </w:rPr>
              <w:t>Comms</w:t>
              <w:br/>
              <w:t>Phone</w:t>
            </w:r>
          </w:p>
        </w:tc>
        <w:tc>
          <w:tcPr>
            <w:tcW w:type="dxa" w:w="3685"/>
          </w:tcPr>
          <w:p>
            <w:pPr>
              <w:jc w:val="left"/>
            </w:pPr>
            <w:r/>
            <w:r>
              <w:rPr>
                <w:b w:val="0"/>
                <w:color w:val="1A1A1A"/>
                <w:sz w:val="18"/>
              </w:rPr>
              <w:t>FROM: Regulatory Authority</w:t>
              <w:br/>
              <w:t>This is the Regulatory Authority. We need an update on your service continuity plans given the workforce disruption.</w:t>
              <w:br/>
              <w:t>[Directed to: Crisis Communications Lead]</w:t>
            </w:r>
          </w:p>
        </w:tc>
        <w:tc>
          <w:tcPr>
            <w:tcW w:type="dxa" w:w="2268"/>
          </w:tcPr>
          <w:p>
            <w:pPr>
              <w:jc w:val="left"/>
            </w:pPr>
            <w:r/>
            <w:r>
              <w:rPr>
                <w:b w:val="0"/>
                <w:color w:val="1A1A1A"/>
                <w:sz w:val="18"/>
              </w:rPr>
              <w:t>Prepare and deliver a compliance update to the regulator.</w:t>
            </w:r>
          </w:p>
        </w:tc>
        <w:tc>
          <w:tcPr>
            <w:tcW w:type="dxa" w:w="794"/>
          </w:tcPr>
          <w:p>
            <w:pPr>
              <w:jc w:val="left"/>
            </w:pPr>
            <w:r/>
            <w:r>
              <w:rPr>
                <w:b w:val="0"/>
                <w:color w:val="1A1A1A"/>
                <w:sz w:val="18"/>
              </w:rPr>
              <w:t>Compliance update delivered within 30 minutes.</w:t>
            </w:r>
          </w:p>
        </w:tc>
      </w:tr>
      <w:tr>
        <w:tc>
          <w:tcPr>
            <w:tcW w:type="dxa" w:w="454"/>
            <w:shd w:val="clear" w:color="auto" w:fill="F0F2F4"/>
          </w:tcPr>
          <w:p>
            <w:pPr>
              <w:jc w:val="left"/>
            </w:pPr>
            <w:r/>
            <w:r>
              <w:rPr>
                <w:b w:val="0"/>
                <w:color w:val="1A1A1A"/>
                <w:sz w:val="18"/>
              </w:rPr>
              <w:t>4</w:t>
            </w:r>
          </w:p>
        </w:tc>
        <w:tc>
          <w:tcPr>
            <w:tcW w:type="dxa" w:w="737"/>
            <w:shd w:val="clear" w:color="auto" w:fill="F0F2F4"/>
          </w:tcPr>
          <w:p>
            <w:pPr>
              <w:jc w:val="left"/>
            </w:pPr>
            <w:r/>
            <w:r>
              <w:rPr>
                <w:b w:val="0"/>
                <w:color w:val="1A1A1A"/>
                <w:sz w:val="18"/>
              </w:rPr>
              <w:t>T+50m</w:t>
            </w:r>
          </w:p>
        </w:tc>
        <w:tc>
          <w:tcPr>
            <w:tcW w:type="dxa" w:w="1417"/>
            <w:shd w:val="clear" w:color="auto" w:fill="F0F2F4"/>
          </w:tcPr>
          <w:p>
            <w:pPr>
              <w:jc w:val="left"/>
            </w:pPr>
            <w:r/>
            <w:r>
              <w:rPr>
                <w:b w:val="0"/>
                <w:color w:val="1A1A1A"/>
                <w:sz w:val="18"/>
              </w:rPr>
              <w:t>Comms</w:t>
              <w:br/>
              <w:t>News Bulletin</w:t>
            </w:r>
          </w:p>
        </w:tc>
        <w:tc>
          <w:tcPr>
            <w:tcW w:type="dxa" w:w="3685"/>
            <w:shd w:val="clear" w:color="auto" w:fill="F0F2F4"/>
          </w:tcPr>
          <w:p>
            <w:pPr>
              <w:jc w:val="left"/>
            </w:pPr>
            <w:r/>
            <w:r>
              <w:rPr>
                <w:b w:val="0"/>
                <w:color w:val="1A1A1A"/>
                <w:sz w:val="18"/>
              </w:rPr>
              <w:t>FROM: Local News Station</w:t>
              <w:br/>
              <w:t>Barwon Water faces challenges as pandemic affects workforce. Service continuity under scrutiny.</w:t>
              <w:br/>
              <w:t>[Directed to: Public]</w:t>
            </w:r>
          </w:p>
        </w:tc>
        <w:tc>
          <w:tcPr>
            <w:tcW w:type="dxa" w:w="2268"/>
            <w:shd w:val="clear" w:color="auto" w:fill="F0F2F4"/>
          </w:tcPr>
          <w:p>
            <w:pPr>
              <w:jc w:val="left"/>
            </w:pPr>
            <w:r/>
            <w:r>
              <w:rPr>
                <w:b w:val="0"/>
                <w:color w:val="1A1A1A"/>
                <w:sz w:val="18"/>
              </w:rPr>
              <w:t>Release a holding statement and manage public perception.</w:t>
            </w:r>
          </w:p>
        </w:tc>
        <w:tc>
          <w:tcPr>
            <w:tcW w:type="dxa" w:w="794"/>
            <w:shd w:val="clear" w:color="auto" w:fill="F0F2F4"/>
          </w:tcPr>
          <w:p>
            <w:pPr>
              <w:jc w:val="left"/>
            </w:pPr>
            <w:r/>
            <w:r>
              <w:rPr>
                <w:b w:val="0"/>
                <w:color w:val="1A1A1A"/>
                <w:sz w:val="18"/>
              </w:rPr>
              <w:t>Holding statement issued promptly and aligns with crisis plan.</w:t>
            </w:r>
          </w:p>
        </w:tc>
      </w:tr>
    </w:tbl>
    <w:p>
      <w:pPr>
        <w:spacing w:after="80"/>
      </w:pPr>
    </w:p>
    <w:p>
      <w:pPr>
        <w:spacing w:before="200" w:after="40"/>
      </w:pPr>
      <w:r>
        <w:rPr>
          <w:b/>
          <w:color w:val="00447A"/>
          <w:sz w:val="22"/>
        </w:rPr>
        <w:t>Phase: Operational Continuity</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5</w:t>
            </w:r>
          </w:p>
        </w:tc>
        <w:tc>
          <w:tcPr>
            <w:tcW w:type="dxa" w:w="737"/>
          </w:tcPr>
          <w:p>
            <w:pPr>
              <w:jc w:val="left"/>
            </w:pPr>
            <w:r/>
            <w:r>
              <w:rPr>
                <w:b w:val="0"/>
                <w:color w:val="1A1A1A"/>
                <w:sz w:val="18"/>
              </w:rPr>
              <w:t>T+80m</w:t>
            </w:r>
          </w:p>
        </w:tc>
        <w:tc>
          <w:tcPr>
            <w:tcW w:type="dxa" w:w="1417"/>
          </w:tcPr>
          <w:p>
            <w:pPr>
              <w:jc w:val="left"/>
            </w:pPr>
            <w:r/>
            <w:r>
              <w:rPr>
                <w:b w:val="0"/>
                <w:color w:val="1A1A1A"/>
                <w:sz w:val="18"/>
              </w:rPr>
              <w:t>Action</w:t>
              <w:br/>
              <w:t>Internal Memo</w:t>
            </w:r>
          </w:p>
        </w:tc>
        <w:tc>
          <w:tcPr>
            <w:tcW w:type="dxa" w:w="3685"/>
          </w:tcPr>
          <w:p>
            <w:pPr>
              <w:jc w:val="left"/>
            </w:pPr>
            <w:r/>
            <w:r>
              <w:rPr>
                <w:b w:val="0"/>
                <w:color w:val="1A1A1A"/>
                <w:sz w:val="18"/>
              </w:rPr>
              <w:t>FROM: Operations Lead</w:t>
              <w:br/>
              <w:t>Subject: Current Operational Capacity</w:t>
              <w:br/>
              <w:br/>
              <w:t>Despite workforce shortages, water supply is stable. Wastewater management is under strain, with potential service impacts if staff shortages persist. Urgent review of continuity plans needed.</w:t>
              <w:br/>
              <w:br/>
              <w:t>Regards,</w:t>
              <w:br/>
              <w:t>Operations Lead</w:t>
              <w:br/>
              <w:t>[Directed to: Crisis Management Team]</w:t>
            </w:r>
          </w:p>
        </w:tc>
        <w:tc>
          <w:tcPr>
            <w:tcW w:type="dxa" w:w="2268"/>
          </w:tcPr>
          <w:p>
            <w:pPr>
              <w:jc w:val="left"/>
            </w:pPr>
            <w:r/>
            <w:r>
              <w:rPr>
                <w:b w:val="0"/>
                <w:color w:val="1A1A1A"/>
                <w:sz w:val="18"/>
              </w:rPr>
              <w:t>Assess and adjust continuity plans for wastewater management.</w:t>
            </w:r>
          </w:p>
        </w:tc>
        <w:tc>
          <w:tcPr>
            <w:tcW w:type="dxa" w:w="794"/>
          </w:tcPr>
          <w:p>
            <w:pPr>
              <w:jc w:val="left"/>
            </w:pPr>
            <w:r/>
            <w:r>
              <w:rPr>
                <w:b w:val="0"/>
                <w:color w:val="1A1A1A"/>
                <w:sz w:val="18"/>
              </w:rPr>
              <w:t>Continuity adjustments made to address service strains.</w:t>
            </w:r>
          </w:p>
        </w:tc>
      </w:tr>
      <w:tr>
        <w:tc>
          <w:tcPr>
            <w:tcW w:type="dxa" w:w="454"/>
            <w:shd w:val="clear" w:color="auto" w:fill="F0F2F4"/>
          </w:tcPr>
          <w:p>
            <w:pPr>
              <w:jc w:val="left"/>
            </w:pPr>
            <w:r/>
            <w:r>
              <w:rPr>
                <w:b w:val="0"/>
                <w:color w:val="1A1A1A"/>
                <w:sz w:val="18"/>
              </w:rPr>
              <w:t>6</w:t>
            </w:r>
          </w:p>
        </w:tc>
        <w:tc>
          <w:tcPr>
            <w:tcW w:type="dxa" w:w="737"/>
            <w:shd w:val="clear" w:color="auto" w:fill="F0F2F4"/>
          </w:tcPr>
          <w:p>
            <w:pPr>
              <w:jc w:val="left"/>
            </w:pPr>
            <w:r/>
            <w:r>
              <w:rPr>
                <w:b w:val="0"/>
                <w:color w:val="1A1A1A"/>
                <w:sz w:val="18"/>
              </w:rPr>
              <w:t>T+95m</w:t>
            </w:r>
          </w:p>
        </w:tc>
        <w:tc>
          <w:tcPr>
            <w:tcW w:type="dxa" w:w="1417"/>
            <w:shd w:val="clear" w:color="auto" w:fill="F0F2F4"/>
          </w:tcPr>
          <w:p>
            <w:pPr>
              <w:jc w:val="left"/>
            </w:pPr>
            <w:r/>
            <w:r>
              <w:rPr>
                <w:b w:val="0"/>
                <w:color w:val="1A1A1A"/>
                <w:sz w:val="18"/>
              </w:rPr>
              <w:t>Information</w:t>
              <w:br/>
              <w:t>Sms</w:t>
            </w:r>
          </w:p>
        </w:tc>
        <w:tc>
          <w:tcPr>
            <w:tcW w:type="dxa" w:w="3685"/>
            <w:shd w:val="clear" w:color="auto" w:fill="F0F2F4"/>
          </w:tcPr>
          <w:p>
            <w:pPr>
              <w:jc w:val="left"/>
            </w:pPr>
            <w:r/>
            <w:r>
              <w:rPr>
                <w:b w:val="0"/>
                <w:color w:val="1A1A1A"/>
                <w:sz w:val="18"/>
              </w:rPr>
              <w:t>FROM: Staff Member</w:t>
              <w:br/>
              <w:t>Unsure if I can work tomorrow. Quarantine rules unclear.</w:t>
              <w:br/>
              <w:t>[Directed to: HR Department]</w:t>
            </w:r>
          </w:p>
        </w:tc>
        <w:tc>
          <w:tcPr>
            <w:tcW w:type="dxa" w:w="2268"/>
            <w:shd w:val="clear" w:color="auto" w:fill="F0F2F4"/>
          </w:tcPr>
          <w:p>
            <w:pPr>
              <w:jc w:val="left"/>
            </w:pPr>
            <w:r/>
            <w:r>
              <w:rPr>
                <w:b w:val="0"/>
                <w:color w:val="1A1A1A"/>
                <w:sz w:val="18"/>
              </w:rPr>
              <w:t>Clarify quarantine rules and communicate to staff.</w:t>
            </w:r>
          </w:p>
        </w:tc>
        <w:tc>
          <w:tcPr>
            <w:tcW w:type="dxa" w:w="794"/>
            <w:shd w:val="clear" w:color="auto" w:fill="F0F2F4"/>
          </w:tcPr>
          <w:p>
            <w:pPr>
              <w:jc w:val="left"/>
            </w:pPr>
            <w:r/>
            <w:r>
              <w:rPr>
                <w:b w:val="0"/>
                <w:color w:val="1A1A1A"/>
                <w:sz w:val="18"/>
              </w:rPr>
              <w:t>Clear communication to staff on availability and policy.</w:t>
            </w:r>
          </w:p>
        </w:tc>
      </w:tr>
      <w:tr>
        <w:tc>
          <w:tcPr>
            <w:tcW w:type="dxa" w:w="454"/>
          </w:tcPr>
          <w:p>
            <w:pPr>
              <w:jc w:val="left"/>
            </w:pPr>
            <w:r/>
            <w:r>
              <w:rPr>
                <w:b w:val="0"/>
                <w:color w:val="1A1A1A"/>
                <w:sz w:val="18"/>
              </w:rPr>
              <w:t>7</w:t>
            </w:r>
          </w:p>
        </w:tc>
        <w:tc>
          <w:tcPr>
            <w:tcW w:type="dxa" w:w="737"/>
          </w:tcPr>
          <w:p>
            <w:pPr>
              <w:jc w:val="left"/>
            </w:pPr>
            <w:r/>
            <w:r>
              <w:rPr>
                <w:b w:val="0"/>
                <w:color w:val="1A1A1A"/>
                <w:sz w:val="18"/>
              </w:rPr>
              <w:t>T+105m</w:t>
            </w:r>
          </w:p>
        </w:tc>
        <w:tc>
          <w:tcPr>
            <w:tcW w:type="dxa" w:w="1417"/>
          </w:tcPr>
          <w:p>
            <w:pPr>
              <w:jc w:val="left"/>
            </w:pPr>
            <w:r/>
            <w:r>
              <w:rPr>
                <w:b w:val="0"/>
                <w:color w:val="1A1A1A"/>
                <w:sz w:val="18"/>
              </w:rPr>
              <w:t>Comms</w:t>
              <w:br/>
              <w:t>Radio</w:t>
            </w:r>
          </w:p>
        </w:tc>
        <w:tc>
          <w:tcPr>
            <w:tcW w:type="dxa" w:w="3685"/>
          </w:tcPr>
          <w:p>
            <w:pPr>
              <w:jc w:val="left"/>
            </w:pPr>
            <w:r/>
            <w:r>
              <w:rPr>
                <w:b w:val="0"/>
                <w:color w:val="1A1A1A"/>
                <w:sz w:val="18"/>
              </w:rPr>
              <w:t>FROM: Local Radio Station</w:t>
              <w:br/>
              <w:t>Reports indicate Barwon Water's service continuity is at risk due to staff shortages. Stakeholders demand transparency.</w:t>
              <w:br/>
              <w:t>[Directed to: Public]</w:t>
            </w:r>
          </w:p>
        </w:tc>
        <w:tc>
          <w:tcPr>
            <w:tcW w:type="dxa" w:w="2268"/>
          </w:tcPr>
          <w:p>
            <w:pPr>
              <w:jc w:val="left"/>
            </w:pPr>
            <w:r/>
            <w:r>
              <w:rPr>
                <w:b w:val="0"/>
                <w:color w:val="1A1A1A"/>
                <w:sz w:val="18"/>
              </w:rPr>
              <w:t>Enhance transparency in communications with stakeholders.</w:t>
            </w:r>
          </w:p>
        </w:tc>
        <w:tc>
          <w:tcPr>
            <w:tcW w:type="dxa" w:w="794"/>
          </w:tcPr>
          <w:p>
            <w:pPr>
              <w:jc w:val="left"/>
            </w:pPr>
            <w:r/>
            <w:r>
              <w:rPr>
                <w:b w:val="0"/>
                <w:color w:val="1A1A1A"/>
                <w:sz w:val="18"/>
              </w:rPr>
              <w:t>Transparent and timely communication with stakeholders.</w:t>
            </w:r>
          </w:p>
        </w:tc>
      </w:tr>
    </w:tbl>
    <w:p>
      <w:pPr>
        <w:spacing w:after="80"/>
      </w:pPr>
    </w:p>
    <w:p>
      <w:pPr>
        <w:spacing w:before="200" w:after="40"/>
      </w:pPr>
      <w:r>
        <w:rPr>
          <w:b/>
          <w:color w:val="00447A"/>
          <w:sz w:val="22"/>
        </w:rPr>
        <w:t>Phase: Transition to Recovery</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8</w:t>
            </w:r>
          </w:p>
        </w:tc>
        <w:tc>
          <w:tcPr>
            <w:tcW w:type="dxa" w:w="737"/>
          </w:tcPr>
          <w:p>
            <w:pPr>
              <w:jc w:val="left"/>
            </w:pPr>
            <w:r/>
            <w:r>
              <w:rPr>
                <w:b w:val="0"/>
                <w:color w:val="1A1A1A"/>
                <w:sz w:val="18"/>
              </w:rPr>
              <w:t>T+125m</w:t>
            </w:r>
          </w:p>
        </w:tc>
        <w:tc>
          <w:tcPr>
            <w:tcW w:type="dxa" w:w="1417"/>
          </w:tcPr>
          <w:p>
            <w:pPr>
              <w:jc w:val="left"/>
            </w:pPr>
            <w:r/>
            <w:r>
              <w:rPr>
                <w:b w:val="0"/>
                <w:color w:val="1A1A1A"/>
                <w:sz w:val="18"/>
              </w:rPr>
              <w:t>Decision</w:t>
              <w:br/>
              <w:t>Verbal</w:t>
            </w:r>
          </w:p>
        </w:tc>
        <w:tc>
          <w:tcPr>
            <w:tcW w:type="dxa" w:w="3685"/>
          </w:tcPr>
          <w:p>
            <w:pPr>
              <w:jc w:val="left"/>
            </w:pPr>
            <w:r/>
            <w:r>
              <w:rPr>
                <w:b w:val="0"/>
                <w:color w:val="1A1A1A"/>
                <w:sz w:val="18"/>
              </w:rPr>
              <w:t>FROM: Crisis Management Team Lead</w:t>
              <w:br/>
              <w:t>We need to decide if conditions are stable enough to move to recovery mode. Input needed.</w:t>
              <w:br/>
              <w:t>[Directed to: Crisis Management Team]</w:t>
            </w:r>
          </w:p>
        </w:tc>
        <w:tc>
          <w:tcPr>
            <w:tcW w:type="dxa" w:w="2268"/>
          </w:tcPr>
          <w:p>
            <w:pPr>
              <w:jc w:val="left"/>
            </w:pPr>
            <w:r/>
            <w:r>
              <w:rPr>
                <w:b w:val="0"/>
                <w:color w:val="1A1A1A"/>
                <w:sz w:val="18"/>
              </w:rPr>
              <w:t>Evaluate conditions and make a decision to initiate recovery.</w:t>
            </w:r>
          </w:p>
        </w:tc>
        <w:tc>
          <w:tcPr>
            <w:tcW w:type="dxa" w:w="794"/>
          </w:tcPr>
          <w:p>
            <w:pPr>
              <w:jc w:val="left"/>
            </w:pPr>
            <w:r/>
            <w:r>
              <w:rPr>
                <w:b w:val="0"/>
                <w:color w:val="1A1A1A"/>
                <w:sz w:val="18"/>
              </w:rPr>
              <w:t>Timely decision to initiate recovery phase.</w:t>
            </w:r>
          </w:p>
        </w:tc>
      </w:tr>
      <w:tr>
        <w:tc>
          <w:tcPr>
            <w:tcW w:type="dxa" w:w="454"/>
            <w:shd w:val="clear" w:color="auto" w:fill="F0F2F4"/>
          </w:tcPr>
          <w:p>
            <w:pPr>
              <w:jc w:val="left"/>
            </w:pPr>
            <w:r/>
            <w:r>
              <w:rPr>
                <w:b w:val="0"/>
                <w:color w:val="1A1A1A"/>
                <w:sz w:val="18"/>
              </w:rPr>
              <w:t>9</w:t>
            </w:r>
          </w:p>
        </w:tc>
        <w:tc>
          <w:tcPr>
            <w:tcW w:type="dxa" w:w="737"/>
            <w:shd w:val="clear" w:color="auto" w:fill="F0F2F4"/>
          </w:tcPr>
          <w:p>
            <w:pPr>
              <w:jc w:val="left"/>
            </w:pPr>
            <w:r/>
            <w:r>
              <w:rPr>
                <w:b w:val="0"/>
                <w:color w:val="1A1A1A"/>
                <w:sz w:val="18"/>
              </w:rPr>
              <w:t>T+140m</w:t>
            </w:r>
          </w:p>
        </w:tc>
        <w:tc>
          <w:tcPr>
            <w:tcW w:type="dxa" w:w="1417"/>
            <w:shd w:val="clear" w:color="auto" w:fill="F0F2F4"/>
          </w:tcPr>
          <w:p>
            <w:pPr>
              <w:jc w:val="left"/>
            </w:pPr>
            <w:r/>
            <w:r>
              <w:rPr>
                <w:b w:val="0"/>
                <w:color w:val="1A1A1A"/>
                <w:sz w:val="18"/>
              </w:rPr>
              <w:t>Action</w:t>
              <w:br/>
              <w:t>Teams</w:t>
            </w:r>
          </w:p>
        </w:tc>
        <w:tc>
          <w:tcPr>
            <w:tcW w:type="dxa" w:w="3685"/>
            <w:shd w:val="clear" w:color="auto" w:fill="F0F2F4"/>
          </w:tcPr>
          <w:p>
            <w:pPr>
              <w:jc w:val="left"/>
            </w:pPr>
            <w:r/>
            <w:r>
              <w:rPr>
                <w:b w:val="0"/>
                <w:color w:val="1A1A1A"/>
                <w:sz w:val="18"/>
              </w:rPr>
              <w:t>FROM: Recovery Team Lead</w:t>
              <w:br/>
              <w:t>Recovery plans face hurdles due to unclear staff roles. Need immediate resolution.</w:t>
              <w:br/>
              <w:t>[Directed to: Crisis Management Team]</w:t>
            </w:r>
          </w:p>
        </w:tc>
        <w:tc>
          <w:tcPr>
            <w:tcW w:type="dxa" w:w="2268"/>
            <w:shd w:val="clear" w:color="auto" w:fill="F0F2F4"/>
          </w:tcPr>
          <w:p>
            <w:pPr>
              <w:jc w:val="left"/>
            </w:pPr>
            <w:r/>
            <w:r>
              <w:rPr>
                <w:b w:val="0"/>
                <w:color w:val="1A1A1A"/>
                <w:sz w:val="18"/>
              </w:rPr>
              <w:t>Clarify staff roles and resolve recovery plan challenges.</w:t>
            </w:r>
          </w:p>
        </w:tc>
        <w:tc>
          <w:tcPr>
            <w:tcW w:type="dxa" w:w="794"/>
            <w:shd w:val="clear" w:color="auto" w:fill="F0F2F4"/>
          </w:tcPr>
          <w:p>
            <w:pPr>
              <w:jc w:val="left"/>
            </w:pPr>
            <w:r/>
            <w:r>
              <w:rPr>
                <w:b w:val="0"/>
                <w:color w:val="1A1A1A"/>
                <w:sz w:val="18"/>
              </w:rPr>
              <w:t>Effective resolution of recovery plan challenges.</w:t>
            </w:r>
          </w:p>
        </w:tc>
      </w:tr>
      <w:tr>
        <w:tc>
          <w:tcPr>
            <w:tcW w:type="dxa" w:w="454"/>
          </w:tcPr>
          <w:p>
            <w:pPr>
              <w:jc w:val="left"/>
            </w:pPr>
            <w:r/>
            <w:r>
              <w:rPr>
                <w:b w:val="0"/>
                <w:color w:val="1A1A1A"/>
                <w:sz w:val="18"/>
              </w:rPr>
              <w:t>10</w:t>
            </w:r>
          </w:p>
        </w:tc>
        <w:tc>
          <w:tcPr>
            <w:tcW w:type="dxa" w:w="737"/>
          </w:tcPr>
          <w:p>
            <w:pPr>
              <w:jc w:val="left"/>
            </w:pPr>
            <w:r/>
            <w:r>
              <w:rPr>
                <w:b w:val="0"/>
                <w:color w:val="1A1A1A"/>
                <w:sz w:val="18"/>
              </w:rPr>
              <w:t>T+155m</w:t>
            </w:r>
          </w:p>
        </w:tc>
        <w:tc>
          <w:tcPr>
            <w:tcW w:type="dxa" w:w="1417"/>
          </w:tcPr>
          <w:p>
            <w:pPr>
              <w:jc w:val="left"/>
            </w:pPr>
            <w:r/>
            <w:r>
              <w:rPr>
                <w:b w:val="0"/>
                <w:color w:val="1A1A1A"/>
                <w:sz w:val="18"/>
              </w:rPr>
              <w:t>Comms</w:t>
              <w:br/>
              <w:t>Internal Memo</w:t>
            </w:r>
          </w:p>
        </w:tc>
        <w:tc>
          <w:tcPr>
            <w:tcW w:type="dxa" w:w="3685"/>
          </w:tcPr>
          <w:p>
            <w:pPr>
              <w:jc w:val="left"/>
            </w:pPr>
            <w:r/>
            <w:r>
              <w:rPr>
                <w:b w:val="0"/>
                <w:color w:val="1A1A1A"/>
                <w:sz w:val="18"/>
              </w:rPr>
              <w:t>FROM: Crisis Management Team Lead</w:t>
              <w:br/>
              <w:t>Subject: Recovery Status Update</w:t>
              <w:br/>
              <w:br/>
              <w:t>The transition to recovery is underway. Most services are stabilizing, but long-term staffing strategies need addressing. Full report to follow.</w:t>
              <w:br/>
              <w:br/>
              <w:t>Regards,</w:t>
              <w:br/>
              <w:t>Crisis Management Team Lead</w:t>
              <w:br/>
              <w:t>[Directed to: Executive Team]</w:t>
            </w:r>
          </w:p>
        </w:tc>
        <w:tc>
          <w:tcPr>
            <w:tcW w:type="dxa" w:w="2268"/>
          </w:tcPr>
          <w:p>
            <w:pPr>
              <w:jc w:val="left"/>
            </w:pPr>
            <w:r/>
            <w:r>
              <w:rPr>
                <w:b w:val="0"/>
                <w:color w:val="1A1A1A"/>
                <w:sz w:val="18"/>
              </w:rPr>
              <w:t>Communicate recovery status and plan for long-term staffing.</w:t>
            </w:r>
          </w:p>
        </w:tc>
        <w:tc>
          <w:tcPr>
            <w:tcW w:type="dxa" w:w="794"/>
          </w:tcPr>
          <w:p>
            <w:pPr>
              <w:jc w:val="left"/>
            </w:pPr>
            <w:r/>
            <w:r>
              <w:rPr>
                <w:b w:val="0"/>
                <w:color w:val="1A1A1A"/>
                <w:sz w:val="18"/>
              </w:rPr>
              <w:t>Clear communication and planning for long-term staffing strategies.</w:t>
            </w:r>
          </w:p>
        </w:tc>
      </w:tr>
    </w:tbl>
    <w:p>
      <w:pPr>
        <w:spacing w:after="80"/>
      </w:pPr>
    </w:p>
    <w:p>
      <w:pPr>
        <w:spacing w:before="200" w:after="40"/>
      </w:pPr>
      <w:r>
        <w:rPr>
          <w:b/>
          <w:color w:val="00447A"/>
          <w:sz w:val="22"/>
        </w:rPr>
        <w:t>Phase: General</w:t>
      </w:r>
    </w:p>
    <w:tbl>
      <w:tblPr>
        <w:tblStyle w:val="TableGrid"/>
        <w:tblW w:type="auto" w:w="0"/>
        <w:tblLook w:firstColumn="1" w:firstRow="1" w:lastColumn="0" w:lastRow="0" w:noHBand="0" w:noVBand="1" w:val="04A0"/>
      </w:tblPr>
      <w:tblGrid>
        <w:gridCol w:w="1568"/>
        <w:gridCol w:w="1568"/>
        <w:gridCol w:w="1568"/>
        <w:gridCol w:w="1568"/>
        <w:gridCol w:w="1568"/>
        <w:gridCol w:w="1568"/>
      </w:tblGrid>
      <w:tr>
        <w:tc>
          <w:tcPr>
            <w:tcW w:type="dxa" w:w="454"/>
            <w:shd w:val="clear" w:color="auto" w:fill="0D1B2A"/>
          </w:tcPr>
          <w:p>
            <w:pPr>
              <w:jc w:val="left"/>
            </w:pPr>
            <w:r/>
            <w:r>
              <w:rPr>
                <w:b/>
                <w:color w:val="FFFFFF"/>
                <w:sz w:val="18"/>
              </w:rPr>
              <w:t>#</w:t>
            </w:r>
          </w:p>
        </w:tc>
        <w:tc>
          <w:tcPr>
            <w:tcW w:type="dxa" w:w="737"/>
            <w:shd w:val="clear" w:color="auto" w:fill="0D1B2A"/>
          </w:tcPr>
          <w:p>
            <w:pPr>
              <w:jc w:val="left"/>
            </w:pPr>
            <w:r/>
            <w:r>
              <w:rPr>
                <w:b/>
                <w:color w:val="FFFFFF"/>
                <w:sz w:val="18"/>
              </w:rPr>
              <w:t>T+</w:t>
            </w:r>
          </w:p>
        </w:tc>
        <w:tc>
          <w:tcPr>
            <w:tcW w:type="dxa" w:w="1417"/>
            <w:shd w:val="clear" w:color="auto" w:fill="0D1B2A"/>
          </w:tcPr>
          <w:p>
            <w:pPr>
              <w:jc w:val="left"/>
            </w:pPr>
            <w:r/>
            <w:r>
              <w:rPr>
                <w:b/>
                <w:color w:val="FFFFFF"/>
                <w:sz w:val="18"/>
              </w:rPr>
              <w:t>Type / Channel</w:t>
            </w:r>
          </w:p>
        </w:tc>
        <w:tc>
          <w:tcPr>
            <w:tcW w:type="dxa" w:w="3685"/>
            <w:shd w:val="clear" w:color="auto" w:fill="0D1B2A"/>
          </w:tcPr>
          <w:p>
            <w:pPr>
              <w:jc w:val="left"/>
            </w:pPr>
            <w:r/>
            <w:r>
              <w:rPr>
                <w:b/>
                <w:color w:val="FFFFFF"/>
                <w:sz w:val="18"/>
              </w:rPr>
              <w:t>Inject Content</w:t>
            </w:r>
          </w:p>
        </w:tc>
        <w:tc>
          <w:tcPr>
            <w:tcW w:type="dxa" w:w="2268"/>
            <w:shd w:val="clear" w:color="auto" w:fill="0D1B2A"/>
          </w:tcPr>
          <w:p>
            <w:pPr>
              <w:jc w:val="left"/>
            </w:pPr>
            <w:r/>
            <w:r>
              <w:rPr>
                <w:b/>
                <w:color w:val="FFFFFF"/>
                <w:sz w:val="18"/>
              </w:rPr>
              <w:t>Expected Actions</w:t>
            </w:r>
          </w:p>
        </w:tc>
        <w:tc>
          <w:tcPr>
            <w:tcW w:type="dxa" w:w="794"/>
            <w:shd w:val="clear" w:color="auto" w:fill="0D1B2A"/>
          </w:tcPr>
          <w:p>
            <w:pPr>
              <w:jc w:val="left"/>
            </w:pPr>
            <w:r/>
            <w:r>
              <w:rPr>
                <w:b/>
                <w:color w:val="FFFFFF"/>
                <w:sz w:val="18"/>
              </w:rPr>
              <w:t>Eval Criteria</w:t>
            </w:r>
          </w:p>
        </w:tc>
      </w:tr>
      <w:tr>
        <w:tc>
          <w:tcPr>
            <w:tcW w:type="dxa" w:w="454"/>
          </w:tcPr>
          <w:p>
            <w:pPr>
              <w:jc w:val="left"/>
            </w:pPr>
            <w:r/>
            <w:r>
              <w:rPr>
                <w:b w:val="0"/>
                <w:color w:val="1A1A1A"/>
                <w:sz w:val="18"/>
              </w:rPr>
              <w:t>11</w:t>
            </w:r>
          </w:p>
        </w:tc>
        <w:tc>
          <w:tcPr>
            <w:tcW w:type="dxa" w:w="737"/>
          </w:tcPr>
          <w:p>
            <w:pPr>
              <w:jc w:val="left"/>
            </w:pPr>
            <w:r/>
            <w:r>
              <w:rPr>
                <w:b w:val="0"/>
                <w:color w:val="1A1A1A"/>
                <w:sz w:val="18"/>
              </w:rPr>
              <w:t>T+0m</w:t>
            </w:r>
          </w:p>
        </w:tc>
        <w:tc>
          <w:tcPr>
            <w:tcW w:type="dxa" w:w="1417"/>
          </w:tcPr>
          <w:p>
            <w:pPr>
              <w:jc w:val="left"/>
            </w:pPr>
            <w:r/>
            <w:r>
              <w:rPr>
                <w:b w:val="0"/>
                <w:color w:val="1A1A1A"/>
                <w:sz w:val="18"/>
              </w:rPr>
              <w:t>Information</w:t>
              <w:br/>
              <w:t>News Bulletin</w:t>
            </w:r>
          </w:p>
        </w:tc>
        <w:tc>
          <w:tcPr>
            <w:tcW w:type="dxa" w:w="3685"/>
          </w:tcPr>
          <w:p>
            <w:pPr>
              <w:jc w:val="left"/>
            </w:pPr>
            <w:r/>
            <w:r>
              <w:rPr>
                <w:b w:val="0"/>
                <w:color w:val="1A1A1A"/>
                <w:sz w:val="18"/>
              </w:rPr>
              <w:t>Tensions are rising in the quarantine zones as residents express frustration over unclear regulations and extended isolation periods. Authorities report increased incidents of protests and non-compliance, complicating efforts to control the pandemic.</w:t>
            </w:r>
          </w:p>
        </w:tc>
        <w:tc>
          <w:tcPr>
            <w:tcW w:type="dxa" w:w="2268"/>
          </w:tcPr>
          <w:p>
            <w:pPr>
              <w:jc w:val="left"/>
            </w:pPr>
            <w:r/>
            <w:r>
              <w:rPr>
                <w:b w:val="0"/>
                <w:color w:val="1A1A1A"/>
                <w:sz w:val="18"/>
              </w:rPr>
              <w:t>Participants should assess the impact on operational stability and adjust communication strategies to address public concerns and maintain service continuity.</w:t>
            </w:r>
          </w:p>
        </w:tc>
        <w:tc>
          <w:tcPr>
            <w:tcW w:type="dxa" w:w="794"/>
          </w:tcPr>
          <w:p>
            <w:pPr>
              <w:jc w:val="left"/>
            </w:pPr>
            <w:r/>
            <w:r>
              <w:rPr>
                <w:b w:val="0"/>
                <w:color w:val="1A1A1A"/>
                <w:sz w:val="18"/>
              </w:rPr>
              <w:t>Successful identification of communication gaps, proactive media engagement, and effective public reassurance measures.</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10.  HOT DEBRIEF</w:t>
            </w:r>
          </w:p>
        </w:tc>
      </w:tr>
    </w:tbl>
    <w:p>
      <w:pPr>
        <w:spacing w:after="40"/>
      </w:pPr>
    </w:p>
    <w:p>
      <w:pPr>
        <w:spacing w:after="80"/>
      </w:pPr>
      <w:r>
        <w:rPr>
          <w:color w:val="1A1A1A"/>
          <w:sz w:val="20"/>
        </w:rPr>
        <w:t>Conduct the hot debrief immediately on completion of the exercise — within 30 minutes while events are fresh. This is a no-blame, facilitator-led session of 20–30 minutes and feeds directly into the After Action Report.</w:t>
      </w:r>
    </w:p>
    <w:p>
      <w:pPr>
        <w:spacing w:before="200" w:after="40"/>
      </w:pPr>
      <w:r>
        <w:rPr>
          <w:b/>
          <w:color w:val="00447A"/>
          <w:sz w:val="22"/>
        </w:rPr>
        <w:t>Hot Debrief Structure</w:t>
      </w:r>
    </w:p>
    <w:tbl>
      <w:tblPr>
        <w:tblStyle w:val="TableGrid"/>
        <w:tblW w:type="auto" w:w="0"/>
        <w:tblLook w:firstColumn="1" w:firstRow="1" w:lastColumn="0" w:lastRow="0" w:noHBand="0" w:noVBand="1" w:val="04A0"/>
      </w:tblPr>
      <w:tblGrid>
        <w:gridCol w:w="3135"/>
        <w:gridCol w:w="3135"/>
        <w:gridCol w:w="3135"/>
      </w:tblGrid>
      <w:tr>
        <w:tc>
          <w:tcPr>
            <w:tcW w:type="dxa" w:w="454"/>
            <w:shd w:val="clear" w:color="auto" w:fill="0D1B2A"/>
          </w:tcPr>
          <w:p>
            <w:pPr>
              <w:jc w:val="left"/>
            </w:pPr>
            <w:r/>
            <w:r>
              <w:rPr>
                <w:b/>
                <w:color w:val="FFFFFF"/>
                <w:sz w:val="18"/>
              </w:rPr>
              <w:t>Step</w:t>
            </w:r>
          </w:p>
        </w:tc>
        <w:tc>
          <w:tcPr>
            <w:tcW w:type="dxa" w:w="1984"/>
            <w:shd w:val="clear" w:color="auto" w:fill="0D1B2A"/>
          </w:tcPr>
          <w:p>
            <w:pPr>
              <w:jc w:val="left"/>
            </w:pPr>
            <w:r/>
            <w:r>
              <w:rPr>
                <w:b/>
                <w:color w:val="FFFFFF"/>
                <w:sz w:val="18"/>
              </w:rPr>
              <w:t>Phase</w:t>
            </w:r>
          </w:p>
        </w:tc>
        <w:tc>
          <w:tcPr>
            <w:tcW w:type="dxa" w:w="6917"/>
            <w:shd w:val="clear" w:color="auto" w:fill="0D1B2A"/>
          </w:tcPr>
          <w:p>
            <w:pPr>
              <w:jc w:val="left"/>
            </w:pPr>
            <w:r/>
            <w:r>
              <w:rPr>
                <w:b/>
                <w:color w:val="FFFFFF"/>
                <w:sz w:val="18"/>
              </w:rPr>
              <w:t>Facilitator Notes</w:t>
            </w:r>
          </w:p>
        </w:tc>
      </w:tr>
      <w:tr>
        <w:tc>
          <w:tcPr>
            <w:tcW w:type="dxa" w:w="454"/>
          </w:tcPr>
          <w:p>
            <w:pPr>
              <w:jc w:val="left"/>
            </w:pPr>
            <w:r/>
            <w:r>
              <w:rPr>
                <w:b w:val="0"/>
                <w:color w:val="1A1A1A"/>
                <w:sz w:val="18"/>
              </w:rPr>
              <w:t>1</w:t>
            </w:r>
          </w:p>
        </w:tc>
        <w:tc>
          <w:tcPr>
            <w:tcW w:type="dxa" w:w="1984"/>
          </w:tcPr>
          <w:p>
            <w:pPr>
              <w:jc w:val="left"/>
            </w:pPr>
            <w:r/>
            <w:r>
              <w:rPr>
                <w:b w:val="0"/>
                <w:color w:val="1A1A1A"/>
                <w:sz w:val="18"/>
              </w:rPr>
              <w:t>Opening (2 min)</w:t>
            </w:r>
          </w:p>
        </w:tc>
        <w:tc>
          <w:tcPr>
            <w:tcW w:type="dxa" w:w="6917"/>
          </w:tcPr>
          <w:p>
            <w:pPr>
              <w:jc w:val="left"/>
            </w:pPr>
            <w:r/>
            <w:r>
              <w:rPr>
                <w:b w:val="0"/>
                <w:color w:val="1A1A1A"/>
                <w:sz w:val="18"/>
              </w:rPr>
              <w:t>Thank participants. Confirm no-blame ground rules. Confirm notes are being taken.</w:t>
            </w:r>
          </w:p>
        </w:tc>
      </w:tr>
      <w:tr>
        <w:tc>
          <w:tcPr>
            <w:tcW w:type="dxa" w:w="454"/>
            <w:shd w:val="clear" w:color="auto" w:fill="F0F2F4"/>
          </w:tcPr>
          <w:p>
            <w:pPr>
              <w:jc w:val="left"/>
            </w:pPr>
            <w:r/>
            <w:r>
              <w:rPr>
                <w:b w:val="0"/>
                <w:color w:val="1A1A1A"/>
                <w:sz w:val="18"/>
              </w:rPr>
              <w:t>2</w:t>
            </w:r>
          </w:p>
        </w:tc>
        <w:tc>
          <w:tcPr>
            <w:tcW w:type="dxa" w:w="1984"/>
            <w:shd w:val="clear" w:color="auto" w:fill="F0F2F4"/>
          </w:tcPr>
          <w:p>
            <w:pPr>
              <w:jc w:val="left"/>
            </w:pPr>
            <w:r/>
            <w:r>
              <w:rPr>
                <w:b w:val="0"/>
                <w:color w:val="1A1A1A"/>
                <w:sz w:val="18"/>
              </w:rPr>
              <w:t>What Went Well? (8 min)</w:t>
            </w:r>
          </w:p>
        </w:tc>
        <w:tc>
          <w:tcPr>
            <w:tcW w:type="dxa" w:w="6917"/>
            <w:shd w:val="clear" w:color="auto" w:fill="F0F2F4"/>
          </w:tcPr>
          <w:p>
            <w:pPr>
              <w:jc w:val="left"/>
            </w:pPr>
            <w:r/>
            <w:r>
              <w:rPr>
                <w:b w:val="0"/>
                <w:color w:val="1A1A1A"/>
                <w:sz w:val="18"/>
              </w:rPr>
              <w:t>Go around the room — each team nominates one thing that worked. Record on flip chart.</w:t>
            </w:r>
          </w:p>
        </w:tc>
      </w:tr>
      <w:tr>
        <w:tc>
          <w:tcPr>
            <w:tcW w:type="dxa" w:w="454"/>
          </w:tcPr>
          <w:p>
            <w:pPr>
              <w:jc w:val="left"/>
            </w:pPr>
            <w:r/>
            <w:r>
              <w:rPr>
                <w:b w:val="0"/>
                <w:color w:val="1A1A1A"/>
                <w:sz w:val="18"/>
              </w:rPr>
              <w:t>3</w:t>
            </w:r>
          </w:p>
        </w:tc>
        <w:tc>
          <w:tcPr>
            <w:tcW w:type="dxa" w:w="1984"/>
          </w:tcPr>
          <w:p>
            <w:pPr>
              <w:jc w:val="left"/>
            </w:pPr>
            <w:r/>
            <w:r>
              <w:rPr>
                <w:b w:val="0"/>
                <w:color w:val="1A1A1A"/>
                <w:sz w:val="18"/>
              </w:rPr>
              <w:t>What Would You Change? (8 min)</w:t>
            </w:r>
          </w:p>
        </w:tc>
        <w:tc>
          <w:tcPr>
            <w:tcW w:type="dxa" w:w="6917"/>
          </w:tcPr>
          <w:p>
            <w:pPr>
              <w:jc w:val="left"/>
            </w:pPr>
            <w:r/>
            <w:r>
              <w:rPr>
                <w:b w:val="0"/>
                <w:color w:val="1A1A1A"/>
                <w:sz w:val="18"/>
              </w:rPr>
              <w:t>Probe for gaps without attribution. Focus on plans, processes, information flows.</w:t>
            </w:r>
          </w:p>
        </w:tc>
      </w:tr>
      <w:tr>
        <w:tc>
          <w:tcPr>
            <w:tcW w:type="dxa" w:w="454"/>
            <w:shd w:val="clear" w:color="auto" w:fill="F0F2F4"/>
          </w:tcPr>
          <w:p>
            <w:pPr>
              <w:jc w:val="left"/>
            </w:pPr>
            <w:r/>
            <w:r>
              <w:rPr>
                <w:b w:val="0"/>
                <w:color w:val="1A1A1A"/>
                <w:sz w:val="18"/>
              </w:rPr>
              <w:t>4</w:t>
            </w:r>
          </w:p>
        </w:tc>
        <w:tc>
          <w:tcPr>
            <w:tcW w:type="dxa" w:w="1984"/>
            <w:shd w:val="clear" w:color="auto" w:fill="F0F2F4"/>
          </w:tcPr>
          <w:p>
            <w:pPr>
              <w:jc w:val="left"/>
            </w:pPr>
            <w:r/>
            <w:r>
              <w:rPr>
                <w:b w:val="0"/>
                <w:color w:val="1A1A1A"/>
                <w:sz w:val="18"/>
              </w:rPr>
              <w:t>Key Findings Summary (5 min)</w:t>
            </w:r>
          </w:p>
        </w:tc>
        <w:tc>
          <w:tcPr>
            <w:tcW w:type="dxa" w:w="6917"/>
            <w:shd w:val="clear" w:color="auto" w:fill="F0F2F4"/>
          </w:tcPr>
          <w:p>
            <w:pPr>
              <w:jc w:val="left"/>
            </w:pPr>
            <w:r/>
            <w:r>
              <w:rPr>
                <w:b w:val="0"/>
                <w:color w:val="1A1A1A"/>
                <w:sz w:val="18"/>
              </w:rPr>
              <w:t>Facilitator reads back top 3 themes. Seek participant confirmation.</w:t>
            </w:r>
          </w:p>
        </w:tc>
      </w:tr>
      <w:tr>
        <w:tc>
          <w:tcPr>
            <w:tcW w:type="dxa" w:w="454"/>
          </w:tcPr>
          <w:p>
            <w:pPr>
              <w:jc w:val="left"/>
            </w:pPr>
            <w:r/>
            <w:r>
              <w:rPr>
                <w:b w:val="0"/>
                <w:color w:val="1A1A1A"/>
                <w:sz w:val="18"/>
              </w:rPr>
              <w:t>5</w:t>
            </w:r>
          </w:p>
        </w:tc>
        <w:tc>
          <w:tcPr>
            <w:tcW w:type="dxa" w:w="1984"/>
          </w:tcPr>
          <w:p>
            <w:pPr>
              <w:jc w:val="left"/>
            </w:pPr>
            <w:r/>
            <w:r>
              <w:rPr>
                <w:b w:val="0"/>
                <w:color w:val="1A1A1A"/>
                <w:sz w:val="18"/>
              </w:rPr>
              <w:t>Next Steps (3 min)</w:t>
            </w:r>
          </w:p>
        </w:tc>
        <w:tc>
          <w:tcPr>
            <w:tcW w:type="dxa" w:w="6917"/>
          </w:tcPr>
          <w:p>
            <w:pPr>
              <w:jc w:val="left"/>
            </w:pPr>
            <w:r/>
            <w:r>
              <w:rPr>
                <w:b w:val="0"/>
                <w:color w:val="1A1A1A"/>
                <w:sz w:val="18"/>
              </w:rPr>
              <w:t>Confirm AAR timeline, action log owner, and distribution list.</w:t>
            </w:r>
          </w:p>
        </w:tc>
      </w:tr>
    </w:tbl>
    <w:p>
      <w:pPr>
        <w:spacing w:after="80"/>
      </w:pPr>
    </w:p>
    <w:p>
      <w:pPr>
        <w:spacing w:before="200" w:after="40"/>
      </w:pPr>
      <w:r>
        <w:rPr>
          <w:b/>
          <w:color w:val="00447A"/>
          <w:sz w:val="22"/>
        </w:rPr>
        <w:t>Key Probing Questions</w:t>
      </w:r>
    </w:p>
    <w:p>
      <w:pPr>
        <w:pStyle w:val="ListBullet"/>
      </w:pPr>
      <w:r>
        <w:rPr>
          <w:color w:val="1A1A1A"/>
          <w:sz w:val="20"/>
        </w:rPr>
        <w:t>What enabled that decision to be made quickly?</w:t>
      </w:r>
    </w:p>
    <w:p>
      <w:pPr>
        <w:pStyle w:val="ListBullet"/>
      </w:pPr>
      <w:r>
        <w:rPr>
          <w:color w:val="1A1A1A"/>
          <w:sz w:val="20"/>
        </w:rPr>
        <w:t>What information did you need that you didn't have?</w:t>
      </w:r>
    </w:p>
    <w:p>
      <w:pPr>
        <w:pStyle w:val="ListBullet"/>
      </w:pPr>
      <w:r>
        <w:rPr>
          <w:color w:val="1A1A1A"/>
          <w:sz w:val="20"/>
        </w:rPr>
        <w:t>Was the plan clear on who should do that?</w:t>
      </w:r>
    </w:p>
    <w:p>
      <w:pPr>
        <w:pStyle w:val="ListBullet"/>
      </w:pPr>
      <w:r>
        <w:rPr>
          <w:color w:val="1A1A1A"/>
          <w:sz w:val="20"/>
        </w:rPr>
        <w:t>At what point did you feel most uncertain — and why?</w:t>
      </w:r>
    </w:p>
    <w:p>
      <w:pPr>
        <w:pStyle w:val="ListBullet"/>
      </w:pPr>
      <w:r>
        <w:rPr>
          <w:color w:val="1A1A1A"/>
          <w:sz w:val="20"/>
        </w:rPr>
        <w:t>Were the right people in the room when decisions needed to be made?</w:t>
      </w:r>
    </w:p>
    <w:p>
      <w:pPr>
        <w:pStyle w:val="ListBullet"/>
      </w:pPr>
      <w:r>
        <w:rPr>
          <w:color w:val="1A1A1A"/>
          <w:sz w:val="20"/>
        </w:rPr>
        <w:t>What would you wish you had prepared in advance if this were real?</w:t>
      </w:r>
    </w:p>
    <w:p>
      <w:pPr>
        <w:pStyle w:val="ListBullet"/>
      </w:pPr>
      <w:r>
        <w:rPr>
          <w:color w:val="1A1A1A"/>
          <w:sz w:val="20"/>
        </w:rPr>
        <w:t>Were any regulatory or notification obligations identified — by whom and when?</w:t>
      </w:r>
    </w:p>
    <w:p>
      <w:pPr>
        <w:pStyle w:val="ListBullet"/>
      </w:pPr>
      <w:r>
        <w:rPr>
          <w:color w:val="1A1A1A"/>
          <w:sz w:val="20"/>
        </w:rPr>
        <w:t>Did the scenario reveal any assumptions about systems or resources that were wrong?</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11.  LESSONS LEARNED AND CONTINUOUS IMPROVEMENT</w:t>
            </w:r>
          </w:p>
        </w:tc>
      </w:tr>
    </w:tbl>
    <w:p>
      <w:pPr>
        <w:spacing w:after="40"/>
      </w:pPr>
    </w:p>
    <w:p>
      <w:pPr>
        <w:spacing w:after="80"/>
      </w:pPr>
      <w:r>
        <w:rPr>
          <w:color w:val="1A1A1A"/>
          <w:sz w:val="20"/>
        </w:rPr>
        <w:t>All findings from this exercise must be documented in the After Action Report (AAR) and actioned through the BCM Improvement Register. The improvement register is reviewed at the BCM Steering Committee and overdue actions are escalated to the programme sponsor.</w:t>
      </w:r>
    </w:p>
    <w:tbl>
      <w:tblPr>
        <w:tblStyle w:val="TableGrid"/>
        <w:tblW w:type="auto" w:w="0"/>
        <w:tblLook w:firstColumn="1" w:firstRow="1" w:lastColumn="0" w:lastRow="0" w:noHBand="0" w:noVBand="1" w:val="04A0"/>
      </w:tblPr>
      <w:tblGrid>
        <w:gridCol w:w="3135"/>
        <w:gridCol w:w="3135"/>
        <w:gridCol w:w="3135"/>
      </w:tblGrid>
      <w:tr>
        <w:tc>
          <w:tcPr>
            <w:tcW w:type="dxa" w:w="1701"/>
            <w:shd w:val="clear" w:color="auto" w:fill="0D1B2A"/>
          </w:tcPr>
          <w:p>
            <w:pPr>
              <w:jc w:val="left"/>
            </w:pPr>
            <w:r/>
            <w:r>
              <w:rPr>
                <w:b/>
                <w:color w:val="FFFFFF"/>
                <w:sz w:val="18"/>
              </w:rPr>
              <w:t>Classification</w:t>
            </w:r>
          </w:p>
        </w:tc>
        <w:tc>
          <w:tcPr>
            <w:tcW w:type="dxa" w:w="1701"/>
            <w:shd w:val="clear" w:color="auto" w:fill="0D1B2A"/>
          </w:tcPr>
          <w:p>
            <w:pPr>
              <w:jc w:val="left"/>
            </w:pPr>
            <w:r/>
            <w:r>
              <w:rPr>
                <w:b/>
                <w:color w:val="FFFFFF"/>
                <w:sz w:val="18"/>
              </w:rPr>
              <w:t>Target Timeframe</w:t>
            </w:r>
          </w:p>
        </w:tc>
        <w:tc>
          <w:tcPr>
            <w:tcW w:type="dxa" w:w="5953"/>
            <w:shd w:val="clear" w:color="auto" w:fill="0D1B2A"/>
          </w:tcPr>
          <w:p>
            <w:pPr>
              <w:jc w:val="left"/>
            </w:pPr>
            <w:r/>
            <w:r>
              <w:rPr>
                <w:b/>
                <w:color w:val="FFFFFF"/>
                <w:sz w:val="18"/>
              </w:rPr>
              <w:t>Description</w:t>
            </w:r>
          </w:p>
        </w:tc>
      </w:tr>
      <w:tr>
        <w:tc>
          <w:tcPr>
            <w:tcW w:type="dxa" w:w="1701"/>
          </w:tcPr>
          <w:p>
            <w:pPr>
              <w:jc w:val="left"/>
            </w:pPr>
            <w:r/>
            <w:r>
              <w:rPr>
                <w:b w:val="0"/>
                <w:color w:val="1A1A1A"/>
                <w:sz w:val="18"/>
              </w:rPr>
              <w:t>Immediate</w:t>
            </w:r>
          </w:p>
        </w:tc>
        <w:tc>
          <w:tcPr>
            <w:tcW w:type="dxa" w:w="1701"/>
          </w:tcPr>
          <w:p>
            <w:pPr>
              <w:jc w:val="left"/>
            </w:pPr>
            <w:r/>
            <w:r>
              <w:rPr>
                <w:b w:val="0"/>
                <w:color w:val="1A1A1A"/>
                <w:sz w:val="18"/>
              </w:rPr>
              <w:t>0–30 days</w:t>
            </w:r>
          </w:p>
        </w:tc>
        <w:tc>
          <w:tcPr>
            <w:tcW w:type="dxa" w:w="5953"/>
          </w:tcPr>
          <w:p>
            <w:pPr>
              <w:jc w:val="left"/>
            </w:pPr>
            <w:r/>
            <w:r>
              <w:rPr>
                <w:b w:val="0"/>
                <w:color w:val="1A1A1A"/>
                <w:sz w:val="18"/>
              </w:rPr>
              <w:t>Critical gaps; regulatory exposure; life-safety issues</w:t>
            </w:r>
          </w:p>
        </w:tc>
      </w:tr>
      <w:tr>
        <w:tc>
          <w:tcPr>
            <w:tcW w:type="dxa" w:w="1701"/>
            <w:shd w:val="clear" w:color="auto" w:fill="F0F2F4"/>
          </w:tcPr>
          <w:p>
            <w:pPr>
              <w:jc w:val="left"/>
            </w:pPr>
            <w:r/>
            <w:r>
              <w:rPr>
                <w:b w:val="0"/>
                <w:color w:val="1A1A1A"/>
                <w:sz w:val="18"/>
              </w:rPr>
              <w:t>Short-term</w:t>
            </w:r>
          </w:p>
        </w:tc>
        <w:tc>
          <w:tcPr>
            <w:tcW w:type="dxa" w:w="1701"/>
            <w:shd w:val="clear" w:color="auto" w:fill="F0F2F4"/>
          </w:tcPr>
          <w:p>
            <w:pPr>
              <w:jc w:val="left"/>
            </w:pPr>
            <w:r/>
            <w:r>
              <w:rPr>
                <w:b w:val="0"/>
                <w:color w:val="1A1A1A"/>
                <w:sz w:val="18"/>
              </w:rPr>
              <w:t>1–3 months</w:t>
            </w:r>
          </w:p>
        </w:tc>
        <w:tc>
          <w:tcPr>
            <w:tcW w:type="dxa" w:w="5953"/>
            <w:shd w:val="clear" w:color="auto" w:fill="F0F2F4"/>
          </w:tcPr>
          <w:p>
            <w:pPr>
              <w:jc w:val="left"/>
            </w:pPr>
            <w:r/>
            <w:r>
              <w:rPr>
                <w:b w:val="0"/>
                <w:color w:val="1A1A1A"/>
                <w:sz w:val="18"/>
              </w:rPr>
              <w:t>Significant plan or process gaps; material exercise findings</w:t>
            </w:r>
          </w:p>
        </w:tc>
      </w:tr>
      <w:tr>
        <w:tc>
          <w:tcPr>
            <w:tcW w:type="dxa" w:w="1701"/>
          </w:tcPr>
          <w:p>
            <w:pPr>
              <w:jc w:val="left"/>
            </w:pPr>
            <w:r/>
            <w:r>
              <w:rPr>
                <w:b w:val="0"/>
                <w:color w:val="1A1A1A"/>
                <w:sz w:val="18"/>
              </w:rPr>
              <w:t>Long-term</w:t>
            </w:r>
          </w:p>
        </w:tc>
        <w:tc>
          <w:tcPr>
            <w:tcW w:type="dxa" w:w="1701"/>
          </w:tcPr>
          <w:p>
            <w:pPr>
              <w:jc w:val="left"/>
            </w:pPr>
            <w:r/>
            <w:r>
              <w:rPr>
                <w:b w:val="0"/>
                <w:color w:val="1A1A1A"/>
                <w:sz w:val="18"/>
              </w:rPr>
              <w:t>3–12 months</w:t>
            </w:r>
          </w:p>
        </w:tc>
        <w:tc>
          <w:tcPr>
            <w:tcW w:type="dxa" w:w="5953"/>
          </w:tcPr>
          <w:p>
            <w:pPr>
              <w:jc w:val="left"/>
            </w:pPr>
            <w:r/>
            <w:r>
              <w:rPr>
                <w:b w:val="0"/>
                <w:color w:val="1A1A1A"/>
                <w:sz w:val="18"/>
              </w:rPr>
              <w:t>Programme improvements; training design; procurement</w:t>
            </w:r>
          </w:p>
        </w:tc>
      </w:tr>
    </w:tbl>
    <w:p>
      <w:pPr>
        <w:spacing w:after="80"/>
      </w:pPr>
    </w:p>
    <w:p>
      <w:pPr>
        <w:spacing w:before="240" w:after="80"/>
        <w:pBdr>
          <w:bottom w:val="single" w:sz="6" w:space="1" w:color="0D1B2A"/>
        </w:pBdr>
      </w:pPr>
    </w:p>
    <w:p>
      <w:pPr>
        <w:jc w:val="center"/>
      </w:pPr>
      <w:r>
        <w:rPr>
          <w:color w:val="6C757D"/>
          <w:sz w:val="16"/>
        </w:rPr>
        <w:t>FACILITATOR / OBSERVER ONLY  ·  Confidential — Facilitator Only  ·  BC Studio  ·  13 June 2026</w:t>
      </w:r>
    </w:p>
    <w:sectPr w:rsidR="00FC693F" w:rsidRPr="0006063C" w:rsidSect="00034616">
      <w:headerReference w:type="default" r:id="rId9"/>
      <w:footerReference w:type="default" r:id="rId10"/>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C757D"/>
        <w:sz w:val="15"/>
      </w:rPr>
      <w:t>Confidential — Facilitator Only  ·  BC Studio  ·  13 June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i/>
        <w:color w:val="6C757D"/>
        <w:sz w:val="16"/>
      </w:rPr>
      <w:t>Global Pandemic</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