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200" w:after="200"/>
              <w:jc w:val="left"/>
            </w:pPr>
            <w:r>
              <w:rPr>
                <w:b/>
                <w:caps/>
                <w:color w:val="FFFFFF"/>
                <w:sz w:val="22"/>
              </w:rPr>
              <w:t>PARTICIPANT BRIEF</w:t>
            </w:r>
          </w:p>
        </w:tc>
      </w:tr>
    </w:tbl>
    <w:p/>
    <w:p>
      <w:pPr>
        <w:spacing w:before="160" w:after="80"/>
      </w:pPr>
      <w:r>
        <w:rPr>
          <w:b/>
          <w:color w:val="0D1B2A"/>
          <w:sz w:val="52"/>
        </w:rPr>
        <w:t>Global Pandemic</w:t>
      </w:r>
    </w:p>
    <w:p/>
    <w:p>
      <w:pPr>
        <w:spacing w:before="40" w:after="160"/>
        <w:pBdr>
          <w:bottom w:val="single" w:sz="6" w:space="1" w:color="0D1B2A"/>
        </w:pBdr>
      </w:pPr>
    </w:p>
    <w:p/>
    <w:tbl>
      <w:tblPr>
        <w:tblStyle w:val="TableGrid"/>
        <w:tblW w:type="auto" w:w="0"/>
        <w:tblLook w:firstColumn="1" w:firstRow="1" w:lastColumn="0" w:lastRow="0" w:noHBand="0" w:noVBand="1" w:val="04A0"/>
      </w:tblPr>
      <w:tblGrid>
        <w:gridCol w:w="4703"/>
        <w:gridCol w:w="4703"/>
      </w:tblGrid>
      <w:tr>
        <w:tc>
          <w:tcPr>
            <w:tcW w:type="dxa" w:w="4703"/>
            <w:shd w:val="clear" w:color="auto" w:fill="D6E4F7"/>
          </w:tcPr>
          <w:p>
            <w:pPr>
              <w:jc w:val="left"/>
            </w:pPr>
            <w:r/>
            <w:r>
              <w:rPr>
                <w:b/>
                <w:color w:val="0D1B2A"/>
                <w:sz w:val="20"/>
              </w:rPr>
              <w:t>Version</w:t>
            </w:r>
          </w:p>
        </w:tc>
        <w:tc>
          <w:tcPr>
            <w:tcW w:type="dxa" w:w="4703"/>
            <w:shd w:val="clear" w:color="auto" w:fill="F0F2F4"/>
          </w:tcPr>
          <w:p>
            <w:pPr>
              <w:jc w:val="left"/>
            </w:pPr>
            <w:r/>
            <w:r>
              <w:rPr>
                <w:b w:val="0"/>
                <w:color w:val="1A1A1A"/>
                <w:sz w:val="20"/>
              </w:rPr>
              <w:t>1.0</w:t>
            </w:r>
          </w:p>
        </w:tc>
      </w:tr>
      <w:tr>
        <w:tc>
          <w:tcPr>
            <w:tcW w:type="dxa" w:w="4703"/>
            <w:shd w:val="clear" w:color="auto" w:fill="D6E4F7"/>
          </w:tcPr>
          <w:p>
            <w:pPr>
              <w:jc w:val="left"/>
            </w:pPr>
            <w:r/>
            <w:r>
              <w:rPr>
                <w:b/>
                <w:color w:val="0D1B2A"/>
                <w:sz w:val="20"/>
              </w:rPr>
              <w:t>Status</w:t>
            </w:r>
          </w:p>
        </w:tc>
        <w:tc>
          <w:tcPr>
            <w:tcW w:type="dxa" w:w="4703"/>
            <w:shd w:val="clear" w:color="auto" w:fill="F0F2F4"/>
          </w:tcPr>
          <w:p>
            <w:pPr>
              <w:jc w:val="left"/>
            </w:pPr>
            <w:r/>
            <w:r>
              <w:rPr>
                <w:b w:val="0"/>
                <w:color w:val="1A1A1A"/>
                <w:sz w:val="20"/>
              </w:rPr>
              <w:t>DRAFT — For Review and Approval</w:t>
            </w:r>
          </w:p>
        </w:tc>
      </w:tr>
      <w:tr>
        <w:tc>
          <w:tcPr>
            <w:tcW w:type="dxa" w:w="4703"/>
            <w:shd w:val="clear" w:color="auto" w:fill="D6E4F7"/>
          </w:tcPr>
          <w:p>
            <w:pPr>
              <w:jc w:val="left"/>
            </w:pPr>
            <w:r/>
            <w:r>
              <w:rPr>
                <w:b/>
                <w:color w:val="0D1B2A"/>
                <w:sz w:val="20"/>
              </w:rPr>
              <w:t>Classification</w:t>
            </w:r>
          </w:p>
        </w:tc>
        <w:tc>
          <w:tcPr>
            <w:tcW w:type="dxa" w:w="4703"/>
            <w:shd w:val="clear" w:color="auto" w:fill="F0F2F4"/>
          </w:tcPr>
          <w:p>
            <w:pPr>
              <w:jc w:val="left"/>
            </w:pPr>
            <w:r/>
            <w:r>
              <w:rPr>
                <w:b/>
                <w:color w:val="0D1B2A"/>
                <w:sz w:val="20"/>
              </w:rPr>
              <w:t>Internal Use Only</w:t>
            </w:r>
          </w:p>
        </w:tc>
      </w:tr>
      <w:tr>
        <w:tc>
          <w:tcPr>
            <w:tcW w:type="dxa" w:w="4703"/>
            <w:shd w:val="clear" w:color="auto" w:fill="D6E4F7"/>
          </w:tcPr>
          <w:p>
            <w:pPr>
              <w:jc w:val="left"/>
            </w:pPr>
            <w:r/>
            <w:r>
              <w:rPr>
                <w:b/>
                <w:color w:val="0D1B2A"/>
                <w:sz w:val="20"/>
              </w:rPr>
              <w:t>Document Owner</w:t>
            </w:r>
          </w:p>
        </w:tc>
        <w:tc>
          <w:tcPr>
            <w:tcW w:type="dxa" w:w="4703"/>
            <w:shd w:val="clear" w:color="auto" w:fill="F0F2F4"/>
          </w:tcPr>
          <w:p>
            <w:pPr>
              <w:jc w:val="left"/>
            </w:pPr>
            <w:r/>
            <w:r>
              <w:rPr>
                <w:b w:val="0"/>
                <w:color w:val="1A1A1A"/>
                <w:sz w:val="20"/>
              </w:rPr>
              <w:t>BCM Programme</w:t>
            </w:r>
          </w:p>
        </w:tc>
      </w:tr>
      <w:tr>
        <w:tc>
          <w:tcPr>
            <w:tcW w:type="dxa" w:w="4703"/>
            <w:shd w:val="clear" w:color="auto" w:fill="D6E4F7"/>
          </w:tcPr>
          <w:p>
            <w:pPr>
              <w:jc w:val="left"/>
            </w:pPr>
            <w:r/>
            <w:r>
              <w:rPr>
                <w:b/>
                <w:color w:val="0D1B2A"/>
                <w:sz w:val="20"/>
              </w:rPr>
              <w:t>Date</w:t>
            </w:r>
          </w:p>
        </w:tc>
        <w:tc>
          <w:tcPr>
            <w:tcW w:type="dxa" w:w="4703"/>
            <w:shd w:val="clear" w:color="auto" w:fill="F0F2F4"/>
          </w:tcPr>
          <w:p>
            <w:pPr>
              <w:jc w:val="left"/>
            </w:pPr>
            <w:r/>
            <w:r>
              <w:rPr>
                <w:b w:val="0"/>
                <w:color w:val="1A1A1A"/>
                <w:sz w:val="20"/>
              </w:rPr>
              <w:t>13 June 2026</w:t>
            </w:r>
          </w:p>
        </w:tc>
      </w:tr>
    </w:tbl>
    <w:p>
      <w:r>
        <w:br w:type="page"/>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  PURPOSE AND SCOPE</w:t>
            </w:r>
          </w:p>
        </w:tc>
      </w:tr>
    </w:tbl>
    <w:p>
      <w:pPr>
        <w:spacing w:after="40"/>
      </w:pPr>
    </w:p>
    <w:p>
      <w:pPr>
        <w:spacing w:after="80"/>
      </w:pPr>
      <w:r>
        <w:rPr>
          <w:color w:val="1A1A1A"/>
          <w:sz w:val="20"/>
        </w:rPr>
        <w:t>The aim of this exercise is: To evaluate Barwon Water's preparedness and response capability in managing workforce disruptions due to a global pandemic.</w:t>
      </w:r>
    </w:p>
    <w:p>
      <w:pPr>
        <w:spacing w:after="80"/>
      </w:pPr>
      <w:r>
        <w:rPr>
          <w:color w:val="1A1A1A"/>
          <w:sz w:val="20"/>
        </w:rPr>
        <w:t>This Participant Brief provides the background information, scenario context, exercise objectives, ground rules, and timeline required for effective participation. Please read this document in full before the exercise commences.</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2.  EXERCISE DETAILS</w:t>
            </w:r>
          </w:p>
        </w:tc>
      </w:tr>
    </w:tbl>
    <w:p>
      <w:pPr>
        <w:spacing w:after="40"/>
      </w:pPr>
    </w:p>
    <w:tbl>
      <w:tblPr>
        <w:tblStyle w:val="TableGrid"/>
        <w:tblW w:type="auto" w:w="0"/>
        <w:tblLook w:firstColumn="1" w:firstRow="1" w:lastColumn="0" w:lastRow="0" w:noHBand="0" w:noVBand="1" w:val="04A0"/>
      </w:tblPr>
      <w:tblGrid>
        <w:gridCol w:w="4703"/>
        <w:gridCol w:w="4703"/>
      </w:tblGrid>
      <w:tr>
        <w:tc>
          <w:tcPr>
            <w:tcW w:type="dxa" w:w="2835"/>
            <w:shd w:val="clear" w:color="auto" w:fill="D6E4F7"/>
          </w:tcPr>
          <w:p>
            <w:pPr>
              <w:jc w:val="left"/>
            </w:pPr>
            <w:r/>
            <w:r>
              <w:rPr>
                <w:b/>
                <w:color w:val="0D1B2A"/>
                <w:sz w:val="20"/>
              </w:rPr>
              <w:t>Exercise Title</w:t>
            </w:r>
          </w:p>
        </w:tc>
        <w:tc>
          <w:tcPr>
            <w:tcW w:type="dxa" w:w="6236"/>
          </w:tcPr>
          <w:p>
            <w:pPr>
              <w:jc w:val="left"/>
            </w:pPr>
            <w:r/>
            <w:r>
              <w:rPr>
                <w:b w:val="0"/>
                <w:color w:val="1A1A1A"/>
                <w:sz w:val="20"/>
              </w:rPr>
              <w:t>Global Pandemic</w:t>
            </w:r>
          </w:p>
        </w:tc>
      </w:tr>
      <w:tr>
        <w:tc>
          <w:tcPr>
            <w:tcW w:type="dxa" w:w="2835"/>
            <w:shd w:val="clear" w:color="auto" w:fill="D6E4F7"/>
          </w:tcPr>
          <w:p>
            <w:pPr>
              <w:jc w:val="left"/>
            </w:pPr>
            <w:r/>
            <w:r>
              <w:rPr>
                <w:b/>
                <w:color w:val="0D1B2A"/>
                <w:sz w:val="20"/>
              </w:rPr>
              <w:t>Organisation</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Sector / Context</w:t>
            </w:r>
          </w:p>
        </w:tc>
        <w:tc>
          <w:tcPr>
            <w:tcW w:type="dxa" w:w="6236"/>
          </w:tcPr>
          <w:p>
            <w:pPr>
              <w:jc w:val="left"/>
            </w:pPr>
            <w:r/>
            <w:r>
              <w:rPr>
                <w:b w:val="0"/>
                <w:color w:val="1A1A1A"/>
                <w:sz w:val="20"/>
              </w:rPr>
              <w:t>Workforce Disruption</w:t>
            </w:r>
          </w:p>
        </w:tc>
      </w:tr>
      <w:tr>
        <w:tc>
          <w:tcPr>
            <w:tcW w:type="dxa" w:w="2835"/>
            <w:shd w:val="clear" w:color="auto" w:fill="D6E4F7"/>
          </w:tcPr>
          <w:p>
            <w:pPr>
              <w:jc w:val="left"/>
            </w:pPr>
            <w:r/>
            <w:r>
              <w:rPr>
                <w:b/>
                <w:color w:val="0D1B2A"/>
                <w:sz w:val="20"/>
              </w:rPr>
              <w:t>Exercise Format</w:t>
            </w:r>
          </w:p>
        </w:tc>
        <w:tc>
          <w:tcPr>
            <w:tcW w:type="dxa" w:w="6236"/>
            <w:shd w:val="clear" w:color="auto" w:fill="F0F2F4"/>
          </w:tcPr>
          <w:p>
            <w:pPr>
              <w:jc w:val="left"/>
            </w:pPr>
            <w:r/>
            <w:r>
              <w:rPr>
                <w:b w:val="0"/>
                <w:color w:val="1A1A1A"/>
                <w:sz w:val="20"/>
              </w:rPr>
              <w:t>Tabletop</w:t>
            </w:r>
          </w:p>
        </w:tc>
      </w:tr>
      <w:tr>
        <w:tc>
          <w:tcPr>
            <w:tcW w:type="dxa" w:w="2835"/>
            <w:shd w:val="clear" w:color="auto" w:fill="D6E4F7"/>
          </w:tcPr>
          <w:p>
            <w:pPr>
              <w:jc w:val="left"/>
            </w:pPr>
            <w:r/>
            <w:r>
              <w:rPr>
                <w:b/>
                <w:color w:val="0D1B2A"/>
                <w:sz w:val="20"/>
              </w:rPr>
              <w:t>Complexity</w:t>
            </w:r>
          </w:p>
        </w:tc>
        <w:tc>
          <w:tcPr>
            <w:tcW w:type="dxa" w:w="6236"/>
          </w:tcPr>
          <w:p>
            <w:pPr>
              <w:jc w:val="left"/>
            </w:pPr>
            <w:r/>
            <w:r>
              <w:rPr>
                <w:b w:val="0"/>
                <w:color w:val="1A1A1A"/>
                <w:sz w:val="20"/>
              </w:rPr>
              <w:t>Moderate</w:t>
            </w:r>
          </w:p>
        </w:tc>
      </w:tr>
      <w:tr>
        <w:tc>
          <w:tcPr>
            <w:tcW w:type="dxa" w:w="2835"/>
            <w:shd w:val="clear" w:color="auto" w:fill="D6E4F7"/>
          </w:tcPr>
          <w:p>
            <w:pPr>
              <w:jc w:val="left"/>
            </w:pPr>
            <w:r/>
            <w:r>
              <w:rPr>
                <w:b/>
                <w:color w:val="0D1B2A"/>
                <w:sz w:val="20"/>
              </w:rPr>
              <w:t>Duration</w:t>
            </w:r>
          </w:p>
        </w:tc>
        <w:tc>
          <w:tcPr>
            <w:tcW w:type="dxa" w:w="6236"/>
            <w:shd w:val="clear" w:color="auto" w:fill="F0F2F4"/>
          </w:tcPr>
          <w:p>
            <w:pPr>
              <w:jc w:val="left"/>
            </w:pPr>
            <w:r/>
            <w:r>
              <w:rPr>
                <w:b w:val="0"/>
                <w:color w:val="1A1A1A"/>
                <w:sz w:val="20"/>
              </w:rPr>
              <w:t>180 minutes</w:t>
            </w:r>
          </w:p>
        </w:tc>
      </w:tr>
      <w:tr>
        <w:tc>
          <w:tcPr>
            <w:tcW w:type="dxa" w:w="2835"/>
            <w:shd w:val="clear" w:color="auto" w:fill="D6E4F7"/>
          </w:tcPr>
          <w:p>
            <w:pPr>
              <w:jc w:val="left"/>
            </w:pPr>
            <w:r/>
            <w:r>
              <w:rPr>
                <w:b/>
                <w:color w:val="0D1B2A"/>
                <w:sz w:val="20"/>
              </w:rPr>
              <w:t>Scenario Name</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Scheduled Date</w:t>
            </w:r>
          </w:p>
        </w:tc>
        <w:tc>
          <w:tcPr>
            <w:tcW w:type="dxa" w:w="6236"/>
            <w:shd w:val="clear" w:color="auto" w:fill="F0F2F4"/>
          </w:tcPr>
          <w:p>
            <w:pPr>
              <w:jc w:val="left"/>
            </w:pPr>
            <w:r/>
            <w:r>
              <w:rPr>
                <w:b w:val="0"/>
                <w:color w:val="1A1A1A"/>
                <w:sz w:val="20"/>
              </w:rPr>
              <w:t>2026-06-12</w:t>
            </w:r>
          </w:p>
        </w:tc>
      </w:tr>
      <w:tr>
        <w:tc>
          <w:tcPr>
            <w:tcW w:type="dxa" w:w="2835"/>
            <w:shd w:val="clear" w:color="auto" w:fill="D6E4F7"/>
          </w:tcPr>
          <w:p>
            <w:pPr>
              <w:jc w:val="left"/>
            </w:pPr>
            <w:r/>
            <w:r>
              <w:rPr>
                <w:b/>
                <w:color w:val="0D1B2A"/>
                <w:sz w:val="20"/>
              </w:rPr>
              <w:t>Facilitator</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No-Fault Principle</w:t>
            </w:r>
          </w:p>
        </w:tc>
        <w:tc>
          <w:tcPr>
            <w:tcW w:type="dxa" w:w="6236"/>
            <w:shd w:val="clear" w:color="auto" w:fill="F0F2F4"/>
          </w:tcPr>
          <w:p>
            <w:pPr>
              <w:jc w:val="left"/>
            </w:pPr>
            <w:r/>
            <w:r>
              <w:rPr>
                <w:b w:val="0"/>
                <w:color w:val="1A1A1A"/>
                <w:sz w:val="20"/>
              </w:rPr>
              <w:t>Yes — this is a learning exercise. There are no wrong answers.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3.  GOVERNANCE AND AUTHORITY</w:t>
            </w:r>
          </w:p>
        </w:tc>
      </w:tr>
    </w:tbl>
    <w:p>
      <w:pPr>
        <w:spacing w:after="40"/>
      </w:pPr>
    </w:p>
    <w:p>
      <w:pPr>
        <w:spacing w:after="80"/>
      </w:pPr>
      <w:r>
        <w:rPr>
          <w:color w:val="1A1A1A"/>
          <w:sz w:val="20"/>
        </w:rPr>
        <w:t>This exercise is conducted under the organisation's Business Continuity Management (BCM) programme and is consistent with the requirements of ISO 22301:2019, the BCI Good Practice Guidelines (GPG 2018 PP6), and applicable regulatory obligations. The exercise has been approved by the BCM programme sponsor and forms part of the annual validation programme.</w:t>
      </w:r>
    </w:p>
    <w:p>
      <w:pPr>
        <w:spacing w:after="80"/>
      </w:pPr>
      <w:r>
        <w:rPr>
          <w:color w:val="1A1A1A"/>
          <w:sz w:val="20"/>
        </w:rPr>
        <w:t>Risk / threat alignment: Loss of workforce, global uncertainty and enactment of BCPs</w:t>
      </w:r>
    </w:p>
    <w:p>
      <w:pPr>
        <w:spacing w:before="200" w:after="40"/>
      </w:pPr>
      <w:r>
        <w:rPr>
          <w:b/>
          <w:color w:val="00447A"/>
          <w:sz w:val="22"/>
        </w:rPr>
        <w:t>Plans Being Tested</w:t>
      </w:r>
    </w:p>
    <w:p>
      <w:pPr>
        <w:pStyle w:val="ListBullet"/>
      </w:pPr>
      <w:r>
        <w:rPr>
          <w:color w:val="1A1A1A"/>
          <w:sz w:val="20"/>
        </w:rPr>
        <w:t>Business Continuity Plan</w:t>
      </w:r>
    </w:p>
    <w:p>
      <w:pPr>
        <w:pStyle w:val="ListBullet"/>
      </w:pPr>
      <w:r>
        <w:rPr>
          <w:color w:val="1A1A1A"/>
          <w:sz w:val="20"/>
        </w:rPr>
        <w:t>Crisis Management Plan</w:t>
      </w:r>
    </w:p>
    <w:p>
      <w:pPr>
        <w:pStyle w:val="ListBullet"/>
      </w:pPr>
      <w:r>
        <w:rPr>
          <w:color w:val="1A1A1A"/>
          <w:sz w:val="20"/>
        </w:rPr>
        <w:t>Enterprise BCP</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4.  ROLES AND RESPONSIBILITIES</w:t>
            </w:r>
          </w:p>
        </w:tc>
      </w:tr>
    </w:tbl>
    <w:p>
      <w:pPr>
        <w:spacing w:after="40"/>
      </w:pPr>
    </w:p>
    <w:p>
      <w:pPr>
        <w:spacing w:after="80"/>
      </w:pPr>
      <w:r>
        <w:rPr>
          <w:color w:val="1A1A1A"/>
          <w:sz w:val="20"/>
        </w:rPr>
        <w:t>The following roles apply during this exercise. All participants are expected to act within their designated role throughout the scenario.</w:t>
      </w:r>
    </w:p>
    <w:tbl>
      <w:tblPr>
        <w:tblStyle w:val="TableGrid"/>
        <w:tblW w:type="auto" w:w="0"/>
        <w:tblLook w:firstColumn="1" w:firstRow="1" w:lastColumn="0" w:lastRow="0" w:noHBand="0" w:noVBand="1" w:val="04A0"/>
      </w:tblPr>
      <w:tblGrid>
        <w:gridCol w:w="3135"/>
        <w:gridCol w:w="3135"/>
        <w:gridCol w:w="3135"/>
      </w:tblGrid>
      <w:tr>
        <w:tc>
          <w:tcPr>
            <w:tcW w:type="dxa" w:w="2551"/>
            <w:shd w:val="clear" w:color="auto" w:fill="0D1B2A"/>
          </w:tcPr>
          <w:p>
            <w:pPr>
              <w:jc w:val="left"/>
            </w:pPr>
            <w:r/>
            <w:r>
              <w:rPr>
                <w:b/>
                <w:color w:val="FFFFFF"/>
                <w:sz w:val="18"/>
              </w:rPr>
              <w:t>Role</w:t>
            </w:r>
          </w:p>
        </w:tc>
        <w:tc>
          <w:tcPr>
            <w:tcW w:type="dxa" w:w="5386"/>
            <w:shd w:val="clear" w:color="auto" w:fill="0D1B2A"/>
          </w:tcPr>
          <w:p>
            <w:pPr>
              <w:jc w:val="left"/>
            </w:pPr>
            <w:r/>
            <w:r>
              <w:rPr>
                <w:b/>
                <w:color w:val="FFFFFF"/>
                <w:sz w:val="18"/>
              </w:rPr>
              <w:t>Responsibility</w:t>
            </w:r>
          </w:p>
        </w:tc>
        <w:tc>
          <w:tcPr>
            <w:tcW w:type="dxa" w:w="1417"/>
            <w:shd w:val="clear" w:color="auto" w:fill="0D1B2A"/>
          </w:tcPr>
          <w:p>
            <w:pPr>
              <w:jc w:val="left"/>
            </w:pPr>
            <w:r/>
            <w:r>
              <w:rPr>
                <w:b/>
                <w:color w:val="FFFFFF"/>
                <w:sz w:val="18"/>
              </w:rPr>
              <w:t>Type</w:t>
            </w:r>
          </w:p>
        </w:tc>
      </w:tr>
      <w:tr>
        <w:tc>
          <w:tcPr>
            <w:tcW w:type="dxa" w:w="2551"/>
          </w:tcPr>
          <w:p>
            <w:pPr>
              <w:jc w:val="left"/>
            </w:pPr>
            <w:r/>
            <w:r>
              <w:rPr>
                <w:b w:val="0"/>
                <w:color w:val="1A1A1A"/>
                <w:sz w:val="18"/>
              </w:rPr>
              <w:t>Exercise Facilitator</w:t>
            </w:r>
          </w:p>
        </w:tc>
        <w:tc>
          <w:tcPr>
            <w:tcW w:type="dxa" w:w="5386"/>
          </w:tcPr>
          <w:p>
            <w:pPr>
              <w:jc w:val="left"/>
            </w:pPr>
            <w:r/>
            <w:r>
              <w:rPr>
                <w:b w:val="0"/>
                <w:color w:val="1A1A1A"/>
                <w:sz w:val="18"/>
              </w:rPr>
              <w:t>Leads the exercise; delivers injects; manages timing; ensures learning outcomes</w:t>
            </w:r>
          </w:p>
        </w:tc>
        <w:tc>
          <w:tcPr>
            <w:tcW w:type="dxa" w:w="1417"/>
          </w:tcPr>
          <w:p>
            <w:pPr>
              <w:jc w:val="left"/>
            </w:pPr>
            <w:r/>
            <w:r>
              <w:rPr>
                <w:b w:val="0"/>
                <w:color w:val="1A1A1A"/>
                <w:sz w:val="18"/>
              </w:rPr>
              <w:t>Facilitator</w:t>
            </w:r>
          </w:p>
        </w:tc>
      </w:tr>
      <w:tr>
        <w:tc>
          <w:tcPr>
            <w:tcW w:type="dxa" w:w="2551"/>
            <w:shd w:val="clear" w:color="auto" w:fill="F0F2F4"/>
          </w:tcPr>
          <w:p>
            <w:pPr>
              <w:jc w:val="left"/>
            </w:pPr>
            <w:r/>
            <w:r>
              <w:rPr>
                <w:b w:val="0"/>
                <w:color w:val="1A1A1A"/>
                <w:sz w:val="18"/>
              </w:rPr>
              <w:t>Exercise Observer</w:t>
            </w:r>
          </w:p>
        </w:tc>
        <w:tc>
          <w:tcPr>
            <w:tcW w:type="dxa" w:w="5386"/>
            <w:shd w:val="clear" w:color="auto" w:fill="F0F2F4"/>
          </w:tcPr>
          <w:p>
            <w:pPr>
              <w:jc w:val="left"/>
            </w:pPr>
            <w:r/>
            <w:r>
              <w:rPr>
                <w:b w:val="0"/>
                <w:color w:val="1A1A1A"/>
                <w:sz w:val="18"/>
              </w:rPr>
              <w:t>Observes participant behaviours against evaluation criteria; does not participate in decisions</w:t>
            </w:r>
          </w:p>
        </w:tc>
        <w:tc>
          <w:tcPr>
            <w:tcW w:type="dxa" w:w="1417"/>
            <w:shd w:val="clear" w:color="auto" w:fill="F0F2F4"/>
          </w:tcPr>
          <w:p>
            <w:pPr>
              <w:jc w:val="left"/>
            </w:pPr>
            <w:r/>
            <w:r>
              <w:rPr>
                <w:b w:val="0"/>
                <w:color w:val="1A1A1A"/>
                <w:sz w:val="18"/>
              </w:rPr>
              <w:t>Observer</w:t>
            </w:r>
          </w:p>
        </w:tc>
      </w:tr>
      <w:tr>
        <w:tc>
          <w:tcPr>
            <w:tcW w:type="dxa" w:w="2551"/>
          </w:tcPr>
          <w:p>
            <w:pPr>
              <w:jc w:val="left"/>
            </w:pPr>
            <w:r/>
            <w:r>
              <w:rPr>
                <w:b w:val="0"/>
                <w:color w:val="1A1A1A"/>
                <w:sz w:val="18"/>
              </w:rPr>
              <w:t>Participant</w:t>
            </w:r>
          </w:p>
        </w:tc>
        <w:tc>
          <w:tcPr>
            <w:tcW w:type="dxa" w:w="5386"/>
          </w:tcPr>
          <w:p>
            <w:pPr>
              <w:jc w:val="left"/>
            </w:pPr>
            <w:r/>
            <w:r>
              <w:rPr>
                <w:b w:val="0"/>
                <w:color w:val="1A1A1A"/>
                <w:sz w:val="18"/>
              </w:rPr>
              <w:t>Responds to injects in role; applies relevant plans and procedures; engages in discussion</w:t>
            </w:r>
          </w:p>
        </w:tc>
        <w:tc>
          <w:tcPr>
            <w:tcW w:type="dxa" w:w="1417"/>
          </w:tcPr>
          <w:p>
            <w:pPr>
              <w:jc w:val="left"/>
            </w:pPr>
            <w:r/>
            <w:r>
              <w:rPr>
                <w:b w:val="0"/>
                <w:color w:val="1A1A1A"/>
                <w:sz w:val="18"/>
              </w:rPr>
              <w:t>Participant</w:t>
            </w:r>
          </w:p>
        </w:tc>
      </w:tr>
      <w:tr>
        <w:tc>
          <w:tcPr>
            <w:tcW w:type="dxa" w:w="2551"/>
            <w:shd w:val="clear" w:color="auto" w:fill="F0F2F4"/>
          </w:tcPr>
          <w:p>
            <w:pPr>
              <w:jc w:val="left"/>
            </w:pPr>
            <w:r/>
            <w:r>
              <w:rPr>
                <w:b w:val="0"/>
                <w:color w:val="1A1A1A"/>
                <w:sz w:val="18"/>
              </w:rPr>
              <w:t>BCM Programme Owner</w:t>
            </w:r>
          </w:p>
        </w:tc>
        <w:tc>
          <w:tcPr>
            <w:tcW w:type="dxa" w:w="5386"/>
            <w:shd w:val="clear" w:color="auto" w:fill="F0F2F4"/>
          </w:tcPr>
          <w:p>
            <w:pPr>
              <w:jc w:val="left"/>
            </w:pPr>
            <w:r/>
            <w:r>
              <w:rPr>
                <w:b w:val="0"/>
                <w:color w:val="1A1A1A"/>
                <w:sz w:val="18"/>
              </w:rPr>
              <w:t>Exercise sponsor; receives the AAR; owns the improvement register</w:t>
            </w:r>
          </w:p>
        </w:tc>
        <w:tc>
          <w:tcPr>
            <w:tcW w:type="dxa" w:w="1417"/>
            <w:shd w:val="clear" w:color="auto" w:fill="F0F2F4"/>
          </w:tcPr>
          <w:p>
            <w:pPr>
              <w:jc w:val="left"/>
            </w:pPr>
            <w:r/>
            <w:r>
              <w:rPr>
                <w:b w:val="0"/>
                <w:color w:val="1A1A1A"/>
                <w:sz w:val="18"/>
              </w:rPr>
              <w:t>Governance</w:t>
            </w:r>
          </w:p>
        </w:tc>
      </w:tr>
      <w:tr>
        <w:tc>
          <w:tcPr>
            <w:tcW w:type="dxa" w:w="2551"/>
          </w:tcPr>
          <w:p>
            <w:pPr>
              <w:jc w:val="left"/>
            </w:pPr>
            <w:r/>
            <w:r>
              <w:rPr>
                <w:b w:val="0"/>
                <w:color w:val="1A1A1A"/>
                <w:sz w:val="18"/>
              </w:rPr>
              <w:t>Scribe / Note-taker</w:t>
            </w:r>
          </w:p>
        </w:tc>
        <w:tc>
          <w:tcPr>
            <w:tcW w:type="dxa" w:w="5386"/>
          </w:tcPr>
          <w:p>
            <w:pPr>
              <w:jc w:val="left"/>
            </w:pPr>
            <w:r/>
            <w:r>
              <w:rPr>
                <w:b w:val="0"/>
                <w:color w:val="1A1A1A"/>
                <w:sz w:val="18"/>
              </w:rPr>
              <w:t>Records decisions, actions, and notable observations throughout the exercise</w:t>
            </w:r>
          </w:p>
        </w:tc>
        <w:tc>
          <w:tcPr>
            <w:tcW w:type="dxa" w:w="1417"/>
          </w:tcPr>
          <w:p>
            <w:pPr>
              <w:jc w:val="left"/>
            </w:pPr>
            <w:r/>
            <w:r>
              <w:rPr>
                <w:b w:val="0"/>
                <w:color w:val="1A1A1A"/>
                <w:sz w:val="18"/>
              </w:rPr>
              <w:t>Support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OBSERVER GUIDANCE: </w:t>
            </w:r>
            <w:r>
              <w:rPr>
                <w:color w:val="1A1A1A"/>
                <w:sz w:val="18"/>
              </w:rPr>
              <w:t>Observers must not prompt, assist, or intervene during the exercise. Their role is to record observations for the hot debrief and After Action Report.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5.  LEARNING OBJECTIVES</w:t>
            </w:r>
          </w:p>
        </w:tc>
      </w:tr>
    </w:tbl>
    <w:p>
      <w:pPr>
        <w:spacing w:after="40"/>
      </w:pPr>
    </w:p>
    <w:p>
      <w:pPr>
        <w:spacing w:after="80"/>
      </w:pPr>
      <w:r>
        <w:rPr>
          <w:color w:val="1A1A1A"/>
          <w:sz w:val="20"/>
        </w:rPr>
        <w:t>The following objectives define what this exercise is designed to test and validate. Success criteria are defined for each objective and will be assessed in the After Action Report.</w:t>
      </w:r>
    </w:p>
    <w:tbl>
      <w:tblPr>
        <w:tblStyle w:val="TableGrid"/>
        <w:tblW w:type="auto" w:w="0"/>
        <w:tblLook w:firstColumn="1" w:firstRow="1" w:lastColumn="0" w:lastRow="0" w:noHBand="0" w:noVBand="1" w:val="04A0"/>
      </w:tblPr>
      <w:tblGrid>
        <w:gridCol w:w="2351"/>
        <w:gridCol w:w="2351"/>
        <w:gridCol w:w="2351"/>
        <w:gridCol w:w="2351"/>
      </w:tblGrid>
      <w:tr>
        <w:tc>
          <w:tcPr>
            <w:tcW w:type="dxa" w:w="454"/>
            <w:shd w:val="clear" w:color="auto" w:fill="0D1B2A"/>
          </w:tcPr>
          <w:p>
            <w:pPr>
              <w:jc w:val="left"/>
            </w:pPr>
            <w:r/>
            <w:r>
              <w:rPr>
                <w:b/>
                <w:color w:val="FFFFFF"/>
                <w:sz w:val="18"/>
              </w:rPr>
              <w:t>#</w:t>
            </w:r>
          </w:p>
        </w:tc>
        <w:tc>
          <w:tcPr>
            <w:tcW w:type="dxa" w:w="3685"/>
            <w:shd w:val="clear" w:color="auto" w:fill="0D1B2A"/>
          </w:tcPr>
          <w:p>
            <w:pPr>
              <w:jc w:val="left"/>
            </w:pPr>
            <w:r/>
            <w:r>
              <w:rPr>
                <w:b/>
                <w:color w:val="FFFFFF"/>
                <w:sz w:val="18"/>
              </w:rPr>
              <w:t>Objective</w:t>
            </w:r>
          </w:p>
        </w:tc>
        <w:tc>
          <w:tcPr>
            <w:tcW w:type="dxa" w:w="1984"/>
            <w:shd w:val="clear" w:color="auto" w:fill="0D1B2A"/>
          </w:tcPr>
          <w:p>
            <w:pPr>
              <w:jc w:val="left"/>
            </w:pPr>
            <w:r/>
            <w:r>
              <w:rPr>
                <w:b/>
                <w:color w:val="FFFFFF"/>
                <w:sz w:val="18"/>
              </w:rPr>
              <w:t>Capability Area</w:t>
            </w:r>
          </w:p>
        </w:tc>
        <w:tc>
          <w:tcPr>
            <w:tcW w:type="dxa" w:w="3231"/>
            <w:shd w:val="clear" w:color="auto" w:fill="0D1B2A"/>
          </w:tcPr>
          <w:p>
            <w:pPr>
              <w:jc w:val="left"/>
            </w:pPr>
            <w:r/>
            <w:r>
              <w:rPr>
                <w:b/>
                <w:color w:val="FFFFFF"/>
                <w:sz w:val="18"/>
              </w:rPr>
              <w:t>Success Criteria</w:t>
            </w:r>
          </w:p>
        </w:tc>
      </w:tr>
      <w:tr>
        <w:tc>
          <w:tcPr>
            <w:tcW w:type="dxa" w:w="454"/>
          </w:tcPr>
          <w:p>
            <w:pPr>
              <w:jc w:val="left"/>
            </w:pPr>
            <w:r/>
            <w:r>
              <w:rPr>
                <w:b w:val="0"/>
                <w:color w:val="1A1A1A"/>
                <w:sz w:val="18"/>
              </w:rPr>
              <w:t>1</w:t>
            </w:r>
          </w:p>
        </w:tc>
        <w:tc>
          <w:tcPr>
            <w:tcW w:type="dxa" w:w="3685"/>
          </w:tcPr>
          <w:p>
            <w:pPr>
              <w:jc w:val="left"/>
            </w:pPr>
            <w:r/>
            <w:r>
              <w:rPr>
                <w:b w:val="0"/>
                <w:color w:val="1A1A1A"/>
                <w:sz w:val="18"/>
              </w:rPr>
              <w:t>Test the activation of the Crisis Management and Business Continuity Plans within 30 minutes of a pandemic alert.</w:t>
            </w:r>
          </w:p>
        </w:tc>
        <w:tc>
          <w:tcPr>
            <w:tcW w:type="dxa" w:w="1984"/>
          </w:tcPr>
          <w:p>
            <w:pPr>
              <w:jc w:val="left"/>
            </w:pPr>
            <w:r/>
            <w:r>
              <w:rPr>
                <w:b w:val="0"/>
                <w:color w:val="1A1A1A"/>
                <w:sz w:val="18"/>
              </w:rPr>
              <w:t>Incident Escalation</w:t>
            </w:r>
          </w:p>
        </w:tc>
        <w:tc>
          <w:tcPr>
            <w:tcW w:type="dxa" w:w="3231"/>
          </w:tcPr>
          <w:p>
            <w:pPr>
              <w:jc w:val="left"/>
            </w:pPr>
            <w:r/>
            <w:r>
              <w:rPr>
                <w:b w:val="0"/>
                <w:color w:val="1A1A1A"/>
                <w:sz w:val="18"/>
              </w:rPr>
              <w:t>Crisis Management Team convenes and actions initial response steps within 30 minutes of alert.</w:t>
            </w:r>
          </w:p>
        </w:tc>
      </w:tr>
      <w:tr>
        <w:tc>
          <w:tcPr>
            <w:tcW w:type="dxa" w:w="454"/>
            <w:shd w:val="clear" w:color="auto" w:fill="F0F2F4"/>
          </w:tcPr>
          <w:p>
            <w:pPr>
              <w:jc w:val="left"/>
            </w:pPr>
            <w:r/>
            <w:r>
              <w:rPr>
                <w:b w:val="0"/>
                <w:color w:val="1A1A1A"/>
                <w:sz w:val="18"/>
              </w:rPr>
              <w:t>2</w:t>
            </w:r>
          </w:p>
        </w:tc>
        <w:tc>
          <w:tcPr>
            <w:tcW w:type="dxa" w:w="3685"/>
            <w:shd w:val="clear" w:color="auto" w:fill="F0F2F4"/>
          </w:tcPr>
          <w:p>
            <w:pPr>
              <w:jc w:val="left"/>
            </w:pPr>
            <w:r/>
            <w:r>
              <w:rPr>
                <w:b w:val="0"/>
                <w:color w:val="1A1A1A"/>
                <w:sz w:val="18"/>
              </w:rPr>
              <w:t>Validate the effectiveness of internal and external communications during a workforce disruption scenario.</w:t>
            </w:r>
          </w:p>
        </w:tc>
        <w:tc>
          <w:tcPr>
            <w:tcW w:type="dxa" w:w="1984"/>
            <w:shd w:val="clear" w:color="auto" w:fill="F0F2F4"/>
          </w:tcPr>
          <w:p>
            <w:pPr>
              <w:jc w:val="left"/>
            </w:pPr>
            <w:r/>
            <w:r>
              <w:rPr>
                <w:b w:val="0"/>
                <w:color w:val="1A1A1A"/>
                <w:sz w:val="18"/>
              </w:rPr>
              <w:t>Crisis Communications</w:t>
            </w:r>
          </w:p>
        </w:tc>
        <w:tc>
          <w:tcPr>
            <w:tcW w:type="dxa" w:w="3231"/>
            <w:shd w:val="clear" w:color="auto" w:fill="F0F2F4"/>
          </w:tcPr>
          <w:p>
            <w:pPr>
              <w:jc w:val="left"/>
            </w:pPr>
            <w:r/>
            <w:r>
              <w:rPr>
                <w:b w:val="0"/>
                <w:color w:val="1A1A1A"/>
                <w:sz w:val="18"/>
              </w:rPr>
              <w:t>Communications are timely, consistent, and align with the established crisis communications plan.</w:t>
            </w:r>
          </w:p>
        </w:tc>
      </w:tr>
      <w:tr>
        <w:tc>
          <w:tcPr>
            <w:tcW w:type="dxa" w:w="454"/>
          </w:tcPr>
          <w:p>
            <w:pPr>
              <w:jc w:val="left"/>
            </w:pPr>
            <w:r/>
            <w:r>
              <w:rPr>
                <w:b w:val="0"/>
                <w:color w:val="1A1A1A"/>
                <w:sz w:val="18"/>
              </w:rPr>
              <w:t>3</w:t>
            </w:r>
          </w:p>
        </w:tc>
        <w:tc>
          <w:tcPr>
            <w:tcW w:type="dxa" w:w="3685"/>
          </w:tcPr>
          <w:p>
            <w:pPr>
              <w:jc w:val="left"/>
            </w:pPr>
            <w:r/>
            <w:r>
              <w:rPr>
                <w:b w:val="0"/>
                <w:color w:val="1A1A1A"/>
                <w:sz w:val="18"/>
              </w:rPr>
              <w:t>Assess the ability to maintain critical water supply and wastewater management services with a reduced workforce.</w:t>
            </w:r>
          </w:p>
        </w:tc>
        <w:tc>
          <w:tcPr>
            <w:tcW w:type="dxa" w:w="1984"/>
          </w:tcPr>
          <w:p>
            <w:pPr>
              <w:jc w:val="left"/>
            </w:pPr>
            <w:r/>
            <w:r>
              <w:rPr>
                <w:b w:val="0"/>
                <w:color w:val="1A1A1A"/>
                <w:sz w:val="18"/>
              </w:rPr>
              <w:t>Service Continuity</w:t>
            </w:r>
          </w:p>
        </w:tc>
        <w:tc>
          <w:tcPr>
            <w:tcW w:type="dxa" w:w="3231"/>
          </w:tcPr>
          <w:p>
            <w:pPr>
              <w:jc w:val="left"/>
            </w:pPr>
            <w:r/>
            <w:r>
              <w:rPr>
                <w:b w:val="0"/>
                <w:color w:val="1A1A1A"/>
                <w:sz w:val="18"/>
              </w:rPr>
              <w:t>Critical services continue without interruption, meeting established Minimum Business Continuity Objectives (MBCO).</w:t>
            </w:r>
          </w:p>
        </w:tc>
      </w:tr>
      <w:tr>
        <w:tc>
          <w:tcPr>
            <w:tcW w:type="dxa" w:w="454"/>
            <w:shd w:val="clear" w:color="auto" w:fill="F0F2F4"/>
          </w:tcPr>
          <w:p>
            <w:pPr>
              <w:jc w:val="left"/>
            </w:pPr>
            <w:r/>
            <w:r>
              <w:rPr>
                <w:b w:val="0"/>
                <w:color w:val="1A1A1A"/>
                <w:sz w:val="18"/>
              </w:rPr>
              <w:t>4</w:t>
            </w:r>
          </w:p>
        </w:tc>
        <w:tc>
          <w:tcPr>
            <w:tcW w:type="dxa" w:w="3685"/>
            <w:shd w:val="clear" w:color="auto" w:fill="F0F2F4"/>
          </w:tcPr>
          <w:p>
            <w:pPr>
              <w:jc w:val="left"/>
            </w:pPr>
            <w:r/>
            <w:r>
              <w:rPr>
                <w:b w:val="0"/>
                <w:color w:val="1A1A1A"/>
                <w:sz w:val="18"/>
              </w:rPr>
              <w:t>Evaluate decision-making processes for transitioning from response to recovery phases during the pandemic.</w:t>
            </w:r>
          </w:p>
        </w:tc>
        <w:tc>
          <w:tcPr>
            <w:tcW w:type="dxa" w:w="1984"/>
            <w:shd w:val="clear" w:color="auto" w:fill="F0F2F4"/>
          </w:tcPr>
          <w:p>
            <w:pPr>
              <w:jc w:val="left"/>
            </w:pPr>
            <w:r/>
            <w:r>
              <w:rPr>
                <w:b w:val="0"/>
                <w:color w:val="1A1A1A"/>
                <w:sz w:val="18"/>
              </w:rPr>
              <w:t>Decision-Making</w:t>
            </w:r>
          </w:p>
        </w:tc>
        <w:tc>
          <w:tcPr>
            <w:tcW w:type="dxa" w:w="3231"/>
            <w:shd w:val="clear" w:color="auto" w:fill="F0F2F4"/>
          </w:tcPr>
          <w:p>
            <w:pPr>
              <w:jc w:val="left"/>
            </w:pPr>
            <w:r/>
            <w:r>
              <w:rPr>
                <w:b w:val="0"/>
                <w:color w:val="1A1A1A"/>
                <w:sz w:val="18"/>
              </w:rPr>
              <w:t>Decisions to shift to recovery mode are made within 4 hours of stabilizing the workforce disruption situation.</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6.  SCENARIO BACKGROUND</w:t>
            </w:r>
          </w:p>
        </w:tc>
      </w:tr>
    </w:tbl>
    <w:p>
      <w:pPr>
        <w:spacing w:after="40"/>
      </w:pPr>
    </w:p>
    <w:p>
      <w:pPr>
        <w:spacing w:after="80"/>
      </w:pPr>
      <w:r>
        <w:rPr>
          <w:color w:val="1A1A1A"/>
          <w:sz w:val="20"/>
        </w:rPr>
        <w:t>Barwon Water, a major regional water utility provider, is facing an unprecedented challenge as a rapidly spreading new variant of a global pandemic emerges. The pandemic primarily affects urban areas in Victoria, Australia, leading to a significant portion of the workforce being unable to report to work due to illness or quarantine measures. As the situation unfolds, the organisation struggles to maintain critical water supply and wastewater management services. Key services are at risk due to workforce shortages, and there is mounting pressure from regulators and the media to ensure continuity of essential services. The crisis management team must navigate the complexities of reduced staffing while managing external communications and stakeholder expectations.</w:t>
      </w:r>
    </w:p>
    <w:p>
      <w:pPr>
        <w:spacing w:before="200" w:after="40"/>
      </w:pPr>
      <w:r>
        <w:rPr>
          <w:b/>
          <w:color w:val="00447A"/>
          <w:sz w:val="22"/>
        </w:rPr>
        <w:t>Trigger Event</w:t>
      </w:r>
    </w:p>
    <w:p>
      <w:pPr>
        <w:spacing w:after="80"/>
      </w:pPr>
      <w:r>
        <w:rPr>
          <w:color w:val="1A1A1A"/>
          <w:sz w:val="20"/>
        </w:rPr>
        <w:t>At 08:00, the Chief Medical Officer issues a pandemic alert detailing a new variant of the virus spreading rapidly in Victoria, Australia, leading to immediate government-imposed restrictions and public health measures.</w:t>
      </w:r>
    </w:p>
    <w:p>
      <w:pPr>
        <w:spacing w:before="200" w:after="40"/>
      </w:pPr>
      <w:r>
        <w:rPr>
          <w:b/>
          <w:color w:val="00447A"/>
          <w:sz w:val="22"/>
        </w:rPr>
        <w:t>What Is Known at Exercise Start</w:t>
      </w:r>
    </w:p>
    <w:p>
      <w:pPr>
        <w:spacing w:after="80"/>
      </w:pPr>
      <w:r>
        <w:rPr>
          <w:color w:val="1A1A1A"/>
          <w:sz w:val="20"/>
        </w:rPr>
        <w:t>- A pandemic alert has been issued for Victoria</w:t>
      </w:r>
    </w:p>
    <w:p>
      <w:pPr>
        <w:spacing w:after="80"/>
      </w:pPr>
      <w:r>
        <w:rPr>
          <w:color w:val="1A1A1A"/>
          <w:sz w:val="20"/>
        </w:rPr>
        <w:t>- Workforce numbers are expected to drop significantly</w:t>
      </w:r>
    </w:p>
    <w:p>
      <w:pPr>
        <w:spacing w:after="80"/>
      </w:pPr>
      <w:r>
        <w:rPr>
          <w:color w:val="1A1A1A"/>
          <w:sz w:val="20"/>
        </w:rPr>
        <w:t>- Government restrictions are in place, affecting movement and gatherings</w:t>
      </w:r>
    </w:p>
    <w:p>
      <w:pPr>
        <w:spacing w:after="80"/>
      </w:pPr>
      <w:r>
        <w:rPr>
          <w:color w:val="1A1A1A"/>
          <w:sz w:val="20"/>
        </w:rPr>
        <w:t>- Key customers and stakeholders are demanding continuity assurances</w:t>
      </w:r>
    </w:p>
    <w:p>
      <w:pPr>
        <w:spacing w:before="200" w:after="40"/>
      </w:pPr>
      <w:r>
        <w:rPr>
          <w:b/>
          <w:color w:val="00447A"/>
          <w:sz w:val="22"/>
        </w:rPr>
        <w:t>What Remains Unknown</w:t>
      </w:r>
    </w:p>
    <w:p>
      <w:pPr>
        <w:spacing w:after="80"/>
      </w:pPr>
      <w:r>
        <w:rPr>
          <w:color w:val="1A1A1A"/>
          <w:sz w:val="20"/>
        </w:rPr>
        <w:t>- The exact impact on staff availability and operations</w:t>
      </w:r>
    </w:p>
    <w:p>
      <w:pPr>
        <w:spacing w:after="80"/>
      </w:pPr>
      <w:r>
        <w:rPr>
          <w:color w:val="1A1A1A"/>
          <w:sz w:val="20"/>
        </w:rPr>
        <w:t>- How long the restrictions will remain in place</w:t>
      </w:r>
    </w:p>
    <w:p>
      <w:pPr>
        <w:spacing w:after="80"/>
      </w:pPr>
      <w:r>
        <w:rPr>
          <w:color w:val="1A1A1A"/>
          <w:sz w:val="20"/>
        </w:rPr>
        <w:t>- The full extent of service disruptions</w:t>
      </w:r>
    </w:p>
    <w:p>
      <w:pPr>
        <w:spacing w:after="80"/>
      </w:pPr>
      <w:r>
        <w:rPr>
          <w:color w:val="1A1A1A"/>
          <w:sz w:val="20"/>
        </w:rPr>
        <w:t>- The specific expectations and requirements of regulators</w:t>
      </w:r>
    </w:p>
    <w:p>
      <w:pPr>
        <w:spacing w:before="200" w:after="40"/>
      </w:pPr>
      <w:r>
        <w:rPr>
          <w:b/>
          <w:color w:val="00447A"/>
          <w:sz w:val="22"/>
        </w:rPr>
        <w:t>Exercise Assumptions and Artificialities</w:t>
      </w:r>
    </w:p>
    <w:p>
      <w:pPr>
        <w:spacing w:after="80"/>
      </w:pPr>
      <w:r>
        <w:rPr>
          <w:color w:val="1A1A1A"/>
          <w:sz w:val="20"/>
        </w:rPr>
        <w:t>- The exercise simulates a worst-case scenario with a 30% workforce reduction</w:t>
      </w:r>
    </w:p>
    <w:p>
      <w:pPr>
        <w:spacing w:after="80"/>
      </w:pPr>
      <w:r>
        <w:rPr>
          <w:color w:val="1A1A1A"/>
          <w:sz w:val="20"/>
        </w:rPr>
        <w:t>- Communications systems remain operational throughout</w:t>
      </w:r>
    </w:p>
    <w:p>
      <w:pPr>
        <w:spacing w:after="80"/>
      </w:pPr>
      <w:r>
        <w:rPr>
          <w:color w:val="1A1A1A"/>
          <w:sz w:val="20"/>
        </w:rPr>
        <w:t>- No actual health risks to participants during the exercise</w:t>
      </w:r>
    </w:p>
    <w:p>
      <w:pPr>
        <w:spacing w:after="80"/>
      </w:pPr>
      <w:r>
        <w:rPr>
          <w:color w:val="1A1A1A"/>
          <w:sz w:val="20"/>
        </w:rPr>
        <w:t>- All actions are simulated and do not affect real operations</w:t>
      </w: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NOTE: </w:t>
            </w:r>
            <w:r>
              <w:rPr>
                <w:color w:val="1A1A1A"/>
                <w:sz w:val="18"/>
              </w:rPr>
              <w:t>Assumptions represent simplifications made to enable the exercise to run effectively. They do not reflect operational weaknesses.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7.  EXERCISE TIMELINE</w:t>
            </w:r>
          </w:p>
        </w:tc>
      </w:tr>
    </w:tbl>
    <w:p>
      <w:pPr>
        <w:spacing w:after="40"/>
      </w:pP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680"/>
            <w:shd w:val="clear" w:color="auto" w:fill="0D1B2A"/>
          </w:tcPr>
          <w:p>
            <w:pPr>
              <w:jc w:val="left"/>
            </w:pPr>
            <w:r/>
            <w:r>
              <w:rPr>
                <w:b/>
                <w:color w:val="FFFFFF"/>
                <w:sz w:val="18"/>
              </w:rPr>
              <w:t>Phase</w:t>
            </w:r>
          </w:p>
        </w:tc>
        <w:tc>
          <w:tcPr>
            <w:tcW w:type="dxa" w:w="2154"/>
            <w:shd w:val="clear" w:color="auto" w:fill="0D1B2A"/>
          </w:tcPr>
          <w:p>
            <w:pPr>
              <w:jc w:val="left"/>
            </w:pPr>
            <w:r/>
            <w:r>
              <w:rPr>
                <w:b/>
                <w:color w:val="FFFFFF"/>
                <w:sz w:val="18"/>
              </w:rPr>
              <w:t>Name</w:t>
            </w:r>
          </w:p>
        </w:tc>
        <w:tc>
          <w:tcPr>
            <w:tcW w:type="dxa" w:w="1417"/>
            <w:shd w:val="clear" w:color="auto" w:fill="0D1B2A"/>
          </w:tcPr>
          <w:p>
            <w:pPr>
              <w:jc w:val="left"/>
            </w:pPr>
            <w:r/>
            <w:r>
              <w:rPr>
                <w:b/>
                <w:color w:val="FFFFFF"/>
                <w:sz w:val="18"/>
              </w:rPr>
              <w:t>Start</w:t>
            </w:r>
          </w:p>
        </w:tc>
        <w:tc>
          <w:tcPr>
            <w:tcW w:type="dxa" w:w="1417"/>
            <w:shd w:val="clear" w:color="auto" w:fill="0D1B2A"/>
          </w:tcPr>
          <w:p>
            <w:pPr>
              <w:jc w:val="left"/>
            </w:pPr>
            <w:r/>
            <w:r>
              <w:rPr>
                <w:b/>
                <w:color w:val="FFFFFF"/>
                <w:sz w:val="18"/>
              </w:rPr>
              <w:t>End</w:t>
            </w:r>
          </w:p>
        </w:tc>
        <w:tc>
          <w:tcPr>
            <w:tcW w:type="dxa" w:w="3685"/>
            <w:shd w:val="clear" w:color="auto" w:fill="0D1B2A"/>
          </w:tcPr>
          <w:p>
            <w:pPr>
              <w:jc w:val="left"/>
            </w:pPr>
            <w:r/>
            <w:r>
              <w:rPr>
                <w:b/>
                <w:color w:val="FFFFFF"/>
                <w:sz w:val="18"/>
              </w:rPr>
              <w:t>Focus</w:t>
            </w:r>
          </w:p>
        </w:tc>
      </w:tr>
      <w:tr>
        <w:tc>
          <w:tcPr>
            <w:tcW w:type="dxa" w:w="680"/>
          </w:tcPr>
          <w:p>
            <w:pPr>
              <w:jc w:val="left"/>
            </w:pPr>
            <w:r/>
            <w:r>
              <w:rPr>
                <w:b w:val="0"/>
                <w:color w:val="1A1A1A"/>
                <w:sz w:val="18"/>
              </w:rPr>
              <w:t>1</w:t>
            </w:r>
          </w:p>
        </w:tc>
        <w:tc>
          <w:tcPr>
            <w:tcW w:type="dxa" w:w="2154"/>
          </w:tcPr>
          <w:p>
            <w:pPr>
              <w:jc w:val="left"/>
            </w:pPr>
            <w:r/>
            <w:r>
              <w:rPr>
                <w:b w:val="0"/>
                <w:color w:val="1A1A1A"/>
                <w:sz w:val="18"/>
              </w:rPr>
              <w:t>Activation and Initial Response</w:t>
            </w:r>
          </w:p>
        </w:tc>
        <w:tc>
          <w:tcPr>
            <w:tcW w:type="dxa" w:w="1417"/>
          </w:tcPr>
          <w:p>
            <w:pPr>
              <w:jc w:val="left"/>
            </w:pPr>
            <w:r/>
            <w:r>
              <w:rPr>
                <w:b w:val="0"/>
                <w:color w:val="1A1A1A"/>
                <w:sz w:val="18"/>
              </w:rPr>
              <w:t>T+0 min</w:t>
            </w:r>
          </w:p>
        </w:tc>
        <w:tc>
          <w:tcPr>
            <w:tcW w:type="dxa" w:w="1417"/>
          </w:tcPr>
          <w:p>
            <w:pPr>
              <w:jc w:val="left"/>
            </w:pPr>
            <w:r/>
            <w:r>
              <w:rPr>
                <w:b w:val="0"/>
                <w:color w:val="1A1A1A"/>
                <w:sz w:val="18"/>
              </w:rPr>
              <w:t>T+30 min</w:t>
            </w:r>
          </w:p>
        </w:tc>
        <w:tc>
          <w:tcPr>
            <w:tcW w:type="dxa" w:w="3685"/>
          </w:tcPr>
          <w:p>
            <w:pPr>
              <w:jc w:val="left"/>
            </w:pPr>
            <w:r/>
            <w:r>
              <w:rPr>
                <w:b w:val="0"/>
                <w:color w:val="1A1A1A"/>
                <w:sz w:val="18"/>
              </w:rPr>
              <w:t>Test the activation of Crisis Management and Business Continuity Plans within 30 minutes of a pandemic alert.</w:t>
            </w:r>
          </w:p>
        </w:tc>
      </w:tr>
      <w:tr>
        <w:tc>
          <w:tcPr>
            <w:tcW w:type="dxa" w:w="680"/>
            <w:shd w:val="clear" w:color="auto" w:fill="F0F2F4"/>
          </w:tcPr>
          <w:p>
            <w:pPr>
              <w:jc w:val="left"/>
            </w:pPr>
            <w:r/>
            <w:r>
              <w:rPr>
                <w:b w:val="0"/>
                <w:color w:val="1A1A1A"/>
                <w:sz w:val="18"/>
              </w:rPr>
              <w:t>2</w:t>
            </w:r>
          </w:p>
        </w:tc>
        <w:tc>
          <w:tcPr>
            <w:tcW w:type="dxa" w:w="2154"/>
            <w:shd w:val="clear" w:color="auto" w:fill="F0F2F4"/>
          </w:tcPr>
          <w:p>
            <w:pPr>
              <w:jc w:val="left"/>
            </w:pPr>
            <w:r/>
            <w:r>
              <w:rPr>
                <w:b w:val="0"/>
                <w:color w:val="1A1A1A"/>
                <w:sz w:val="18"/>
              </w:rPr>
              <w:t>Communication and Coordination</w:t>
            </w:r>
          </w:p>
        </w:tc>
        <w:tc>
          <w:tcPr>
            <w:tcW w:type="dxa" w:w="1417"/>
            <w:shd w:val="clear" w:color="auto" w:fill="F0F2F4"/>
          </w:tcPr>
          <w:p>
            <w:pPr>
              <w:jc w:val="left"/>
            </w:pPr>
            <w:r/>
            <w:r>
              <w:rPr>
                <w:b w:val="0"/>
                <w:color w:val="1A1A1A"/>
                <w:sz w:val="18"/>
              </w:rPr>
              <w:t>T+30 min</w:t>
            </w:r>
          </w:p>
        </w:tc>
        <w:tc>
          <w:tcPr>
            <w:tcW w:type="dxa" w:w="1417"/>
            <w:shd w:val="clear" w:color="auto" w:fill="F0F2F4"/>
          </w:tcPr>
          <w:p>
            <w:pPr>
              <w:jc w:val="left"/>
            </w:pPr>
            <w:r/>
            <w:r>
              <w:rPr>
                <w:b w:val="0"/>
                <w:color w:val="1A1A1A"/>
                <w:sz w:val="18"/>
              </w:rPr>
              <w:t>T+75 min</w:t>
            </w:r>
          </w:p>
        </w:tc>
        <w:tc>
          <w:tcPr>
            <w:tcW w:type="dxa" w:w="3685"/>
            <w:shd w:val="clear" w:color="auto" w:fill="F0F2F4"/>
          </w:tcPr>
          <w:p>
            <w:pPr>
              <w:jc w:val="left"/>
            </w:pPr>
            <w:r/>
            <w:r>
              <w:rPr>
                <w:b w:val="0"/>
                <w:color w:val="1A1A1A"/>
                <w:sz w:val="18"/>
              </w:rPr>
              <w:t>Validate the effectiveness of internal and external communications during a workforce disruption scenario.</w:t>
            </w:r>
          </w:p>
        </w:tc>
      </w:tr>
      <w:tr>
        <w:tc>
          <w:tcPr>
            <w:tcW w:type="dxa" w:w="680"/>
          </w:tcPr>
          <w:p>
            <w:pPr>
              <w:jc w:val="left"/>
            </w:pPr>
            <w:r/>
            <w:r>
              <w:rPr>
                <w:b w:val="0"/>
                <w:color w:val="1A1A1A"/>
                <w:sz w:val="18"/>
              </w:rPr>
              <w:t>3</w:t>
            </w:r>
          </w:p>
        </w:tc>
        <w:tc>
          <w:tcPr>
            <w:tcW w:type="dxa" w:w="2154"/>
          </w:tcPr>
          <w:p>
            <w:pPr>
              <w:jc w:val="left"/>
            </w:pPr>
            <w:r/>
            <w:r>
              <w:rPr>
                <w:b w:val="0"/>
                <w:color w:val="1A1A1A"/>
                <w:sz w:val="18"/>
              </w:rPr>
              <w:t>Operational Continuity</w:t>
            </w:r>
          </w:p>
        </w:tc>
        <w:tc>
          <w:tcPr>
            <w:tcW w:type="dxa" w:w="1417"/>
          </w:tcPr>
          <w:p>
            <w:pPr>
              <w:jc w:val="left"/>
            </w:pPr>
            <w:r/>
            <w:r>
              <w:rPr>
                <w:b w:val="0"/>
                <w:color w:val="1A1A1A"/>
                <w:sz w:val="18"/>
              </w:rPr>
              <w:t>T+75 min</w:t>
            </w:r>
          </w:p>
        </w:tc>
        <w:tc>
          <w:tcPr>
            <w:tcW w:type="dxa" w:w="1417"/>
          </w:tcPr>
          <w:p>
            <w:pPr>
              <w:jc w:val="left"/>
            </w:pPr>
            <w:r/>
            <w:r>
              <w:rPr>
                <w:b w:val="0"/>
                <w:color w:val="1A1A1A"/>
                <w:sz w:val="18"/>
              </w:rPr>
              <w:t>T+120 min</w:t>
            </w:r>
          </w:p>
        </w:tc>
        <w:tc>
          <w:tcPr>
            <w:tcW w:type="dxa" w:w="3685"/>
          </w:tcPr>
          <w:p>
            <w:pPr>
              <w:jc w:val="left"/>
            </w:pPr>
            <w:r/>
            <w:r>
              <w:rPr>
                <w:b w:val="0"/>
                <w:color w:val="1A1A1A"/>
                <w:sz w:val="18"/>
              </w:rPr>
              <w:t>Assess the ability to maintain critical water supply and wastewater management services with a reduced workforce.</w:t>
            </w:r>
          </w:p>
        </w:tc>
      </w:tr>
      <w:tr>
        <w:tc>
          <w:tcPr>
            <w:tcW w:type="dxa" w:w="680"/>
            <w:shd w:val="clear" w:color="auto" w:fill="F0F2F4"/>
          </w:tcPr>
          <w:p>
            <w:pPr>
              <w:jc w:val="left"/>
            </w:pPr>
            <w:r/>
            <w:r>
              <w:rPr>
                <w:b w:val="0"/>
                <w:color w:val="1A1A1A"/>
                <w:sz w:val="18"/>
              </w:rPr>
              <w:t>4</w:t>
            </w:r>
          </w:p>
        </w:tc>
        <w:tc>
          <w:tcPr>
            <w:tcW w:type="dxa" w:w="2154"/>
            <w:shd w:val="clear" w:color="auto" w:fill="F0F2F4"/>
          </w:tcPr>
          <w:p>
            <w:pPr>
              <w:jc w:val="left"/>
            </w:pPr>
            <w:r/>
            <w:r>
              <w:rPr>
                <w:b w:val="0"/>
                <w:color w:val="1A1A1A"/>
                <w:sz w:val="18"/>
              </w:rPr>
              <w:t>Transition to Recovery</w:t>
            </w:r>
          </w:p>
        </w:tc>
        <w:tc>
          <w:tcPr>
            <w:tcW w:type="dxa" w:w="1417"/>
            <w:shd w:val="clear" w:color="auto" w:fill="F0F2F4"/>
          </w:tcPr>
          <w:p>
            <w:pPr>
              <w:jc w:val="left"/>
            </w:pPr>
            <w:r/>
            <w:r>
              <w:rPr>
                <w:b w:val="0"/>
                <w:color w:val="1A1A1A"/>
                <w:sz w:val="18"/>
              </w:rPr>
              <w:t>T+120 min</w:t>
            </w:r>
          </w:p>
        </w:tc>
        <w:tc>
          <w:tcPr>
            <w:tcW w:type="dxa" w:w="1417"/>
            <w:shd w:val="clear" w:color="auto" w:fill="F0F2F4"/>
          </w:tcPr>
          <w:p>
            <w:pPr>
              <w:jc w:val="left"/>
            </w:pPr>
            <w:r/>
            <w:r>
              <w:rPr>
                <w:b w:val="0"/>
                <w:color w:val="1A1A1A"/>
                <w:sz w:val="18"/>
              </w:rPr>
              <w:t>T+160 min</w:t>
            </w:r>
          </w:p>
        </w:tc>
        <w:tc>
          <w:tcPr>
            <w:tcW w:type="dxa" w:w="3685"/>
            <w:shd w:val="clear" w:color="auto" w:fill="F0F2F4"/>
          </w:tcPr>
          <w:p>
            <w:pPr>
              <w:jc w:val="left"/>
            </w:pPr>
            <w:r/>
            <w:r>
              <w:rPr>
                <w:b w:val="0"/>
                <w:color w:val="1A1A1A"/>
                <w:sz w:val="18"/>
              </w:rPr>
              <w:t>Evaluate decision-making processes for transitioning from response to recovery phases during the pandemic.</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8.  GROUND RULES</w:t>
            </w:r>
          </w:p>
        </w:tc>
      </w:tr>
    </w:tbl>
    <w:p>
      <w:pPr>
        <w:spacing w:after="40"/>
      </w:pPr>
    </w:p>
    <w:p>
      <w:pPr>
        <w:pStyle w:val="ListBullet"/>
      </w:pPr>
      <w:r>
        <w:rPr>
          <w:color w:val="1A1A1A"/>
          <w:sz w:val="20"/>
        </w:rPr>
        <w:t>This is a no-fault learning exercise. Participation is in good faith; there are no wrong answers.</w:t>
      </w:r>
    </w:p>
    <w:p>
      <w:pPr>
        <w:pStyle w:val="ListBullet"/>
      </w:pPr>
      <w:r>
        <w:rPr>
          <w:color w:val="1A1A1A"/>
          <w:sz w:val="20"/>
        </w:rPr>
        <w:t>Treat the scenario as real and apply your actual plans, policies, and procedures throughout.</w:t>
      </w:r>
    </w:p>
    <w:p>
      <w:pPr>
        <w:pStyle w:val="ListBullet"/>
      </w:pPr>
      <w:r>
        <w:rPr>
          <w:color w:val="1A1A1A"/>
          <w:sz w:val="20"/>
        </w:rPr>
        <w:t>You may only act on information provided by the facilitator — do not use knowledge from outside the scenario.</w:t>
      </w:r>
    </w:p>
    <w:p>
      <w:pPr>
        <w:pStyle w:val="ListBullet"/>
      </w:pPr>
      <w:r>
        <w:rPr>
          <w:color w:val="1A1A1A"/>
          <w:sz w:val="20"/>
        </w:rPr>
        <w:t>Decisions made during the exercise do not constitute actual organisational decisions.</w:t>
      </w:r>
    </w:p>
    <w:p>
      <w:pPr>
        <w:pStyle w:val="ListBullet"/>
      </w:pPr>
      <w:r>
        <w:rPr>
          <w:color w:val="1A1A1A"/>
          <w:sz w:val="20"/>
        </w:rPr>
        <w:t>If the facilitator calls 'Exercise Suspend — No Duff', all exercise activity stops immediately and real emergency procedures take over.</w:t>
      </w:r>
    </w:p>
    <w:p>
      <w:pPr>
        <w:pStyle w:val="ListBullet"/>
      </w:pPr>
      <w:r>
        <w:rPr>
          <w:color w:val="1A1A1A"/>
          <w:sz w:val="20"/>
        </w:rPr>
        <w:t>Mobile phones and laptops should be silenced and closed unless they are part of the exercise.</w:t>
      </w:r>
    </w:p>
    <w:p>
      <w:pPr>
        <w:pStyle w:val="ListBullet"/>
      </w:pPr>
      <w:r>
        <w:rPr>
          <w:color w:val="1A1A1A"/>
          <w:sz w:val="20"/>
        </w:rPr>
        <w:t>All information shared during the exercise is confidential and must not be distributed outside approved channels.</w:t>
      </w:r>
    </w:p>
    <w:p>
      <w:pPr>
        <w:pStyle w:val="ListBullet"/>
      </w:pPr>
      <w:r>
        <w:rPr>
          <w:color w:val="1A1A1A"/>
          <w:sz w:val="20"/>
        </w:rPr>
        <w:t>The facilitator may pause the exercise at any time for group discussion or to explore a learning point.</w:t>
      </w:r>
    </w:p>
    <w:p>
      <w:pPr>
        <w:pStyle w:val="ListBullet"/>
      </w:pPr>
      <w:r>
        <w:rPr>
          <w:color w:val="1A1A1A"/>
          <w:sz w:val="20"/>
        </w:rPr>
        <w:t>If you are unsure what your plan requires — say so. That uncertainty is itself a valuable finding.</w:t>
      </w:r>
    </w:p>
    <w:p>
      <w:pPr>
        <w:pStyle w:val="ListBullet"/>
      </w:pPr>
      <w:r>
        <w:rPr>
          <w:color w:val="1A1A1A"/>
          <w:sz w:val="20"/>
        </w:rPr>
        <w:t>A no-blame, constructive environment is essential. Focus on processes and systems, not individuals.</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9.  RELATIONSHIP TO OTHER PLANS AND DOCUMENTS</w:t>
            </w:r>
          </w:p>
        </w:tc>
      </w:tr>
    </w:tbl>
    <w:p>
      <w:pPr>
        <w:spacing w:after="40"/>
      </w:pPr>
    </w:p>
    <w:tbl>
      <w:tblPr>
        <w:tblStyle w:val="TableGrid"/>
        <w:tblW w:type="auto" w:w="0"/>
        <w:tblLook w:firstColumn="1" w:firstRow="1" w:lastColumn="0" w:lastRow="0" w:noHBand="0" w:noVBand="1" w:val="04A0"/>
      </w:tblPr>
      <w:tblGrid>
        <w:gridCol w:w="4703"/>
        <w:gridCol w:w="4703"/>
      </w:tblGrid>
      <w:tr>
        <w:tc>
          <w:tcPr>
            <w:tcW w:type="dxa" w:w="4535"/>
            <w:shd w:val="clear" w:color="auto" w:fill="0D1B2A"/>
          </w:tcPr>
          <w:p>
            <w:pPr>
              <w:jc w:val="left"/>
            </w:pPr>
            <w:r/>
            <w:r>
              <w:rPr>
                <w:b/>
                <w:color w:val="FFFFFF"/>
                <w:sz w:val="18"/>
              </w:rPr>
              <w:t>Document / Plan</w:t>
            </w:r>
          </w:p>
        </w:tc>
        <w:tc>
          <w:tcPr>
            <w:tcW w:type="dxa" w:w="4819"/>
            <w:shd w:val="clear" w:color="auto" w:fill="0D1B2A"/>
          </w:tcPr>
          <w:p>
            <w:pPr>
              <w:jc w:val="left"/>
            </w:pPr>
            <w:r/>
            <w:r>
              <w:rPr>
                <w:b/>
                <w:color w:val="FFFFFF"/>
                <w:sz w:val="18"/>
              </w:rPr>
              <w:t>Relationship to this Exercise</w:t>
            </w:r>
          </w:p>
        </w:tc>
      </w:tr>
      <w:tr>
        <w:tc>
          <w:tcPr>
            <w:tcW w:type="dxa" w:w="4535"/>
          </w:tcPr>
          <w:p>
            <w:pPr>
              <w:jc w:val="left"/>
            </w:pPr>
            <w:r/>
            <w:r>
              <w:rPr>
                <w:b w:val="0"/>
                <w:color w:val="1A1A1A"/>
                <w:sz w:val="18"/>
              </w:rPr>
              <w:t>Business Continuity Plan</w:t>
            </w:r>
          </w:p>
        </w:tc>
        <w:tc>
          <w:tcPr>
            <w:tcW w:type="dxa" w:w="4819"/>
          </w:tcPr>
          <w:p>
            <w:pPr>
              <w:jc w:val="left"/>
            </w:pPr>
            <w:r/>
            <w:r>
              <w:rPr>
                <w:b w:val="0"/>
                <w:color w:val="1A1A1A"/>
                <w:sz w:val="18"/>
              </w:rPr>
              <w:t>Primary — under test in this exercise</w:t>
            </w:r>
          </w:p>
        </w:tc>
      </w:tr>
      <w:tr>
        <w:tc>
          <w:tcPr>
            <w:tcW w:type="dxa" w:w="4535"/>
            <w:shd w:val="clear" w:color="auto" w:fill="F0F2F4"/>
          </w:tcPr>
          <w:p>
            <w:pPr>
              <w:jc w:val="left"/>
            </w:pPr>
            <w:r/>
            <w:r>
              <w:rPr>
                <w:b w:val="0"/>
                <w:color w:val="1A1A1A"/>
                <w:sz w:val="18"/>
              </w:rPr>
              <w:t>Crisis Management Plan</w:t>
            </w:r>
          </w:p>
        </w:tc>
        <w:tc>
          <w:tcPr>
            <w:tcW w:type="dxa" w:w="4819"/>
            <w:shd w:val="clear" w:color="auto" w:fill="F0F2F4"/>
          </w:tcPr>
          <w:p>
            <w:pPr>
              <w:jc w:val="left"/>
            </w:pPr>
            <w:r/>
            <w:r>
              <w:rPr>
                <w:b w:val="0"/>
                <w:color w:val="1A1A1A"/>
                <w:sz w:val="18"/>
              </w:rPr>
              <w:t>Primary — under test in this exercise</w:t>
            </w:r>
          </w:p>
        </w:tc>
      </w:tr>
      <w:tr>
        <w:tc>
          <w:tcPr>
            <w:tcW w:type="dxa" w:w="4535"/>
          </w:tcPr>
          <w:p>
            <w:pPr>
              <w:jc w:val="left"/>
            </w:pPr>
            <w:r/>
            <w:r>
              <w:rPr>
                <w:b w:val="0"/>
                <w:color w:val="1A1A1A"/>
                <w:sz w:val="18"/>
              </w:rPr>
              <w:t>Enterprise BCP</w:t>
            </w:r>
          </w:p>
        </w:tc>
        <w:tc>
          <w:tcPr>
            <w:tcW w:type="dxa" w:w="4819"/>
          </w:tcPr>
          <w:p>
            <w:pPr>
              <w:jc w:val="left"/>
            </w:pPr>
            <w:r/>
            <w:r>
              <w:rPr>
                <w:b w:val="0"/>
                <w:color w:val="1A1A1A"/>
                <w:sz w:val="18"/>
              </w:rPr>
              <w:t>Primary — under test in this exercise</w:t>
            </w:r>
          </w:p>
        </w:tc>
      </w:tr>
      <w:tr>
        <w:tc>
          <w:tcPr>
            <w:tcW w:type="dxa" w:w="4535"/>
            <w:shd w:val="clear" w:color="auto" w:fill="F0F2F4"/>
          </w:tcPr>
          <w:p>
            <w:pPr>
              <w:jc w:val="left"/>
            </w:pPr>
            <w:r/>
            <w:r>
              <w:rPr>
                <w:b w:val="0"/>
                <w:color w:val="1A1A1A"/>
                <w:sz w:val="18"/>
              </w:rPr>
              <w:t>People</w:t>
            </w:r>
          </w:p>
        </w:tc>
        <w:tc>
          <w:tcPr>
            <w:tcW w:type="dxa" w:w="4819"/>
            <w:shd w:val="clear" w:color="auto" w:fill="F0F2F4"/>
          </w:tcPr>
          <w:p>
            <w:pPr>
              <w:jc w:val="left"/>
            </w:pPr>
            <w:r/>
            <w:r>
              <w:rPr>
                <w:b w:val="0"/>
                <w:color w:val="1A1A1A"/>
                <w:sz w:val="18"/>
              </w:rPr>
              <w:t>Related dependency — referenced but not primary focus</w:t>
            </w:r>
          </w:p>
        </w:tc>
      </w:tr>
      <w:tr>
        <w:tc>
          <w:tcPr>
            <w:tcW w:type="dxa" w:w="4535"/>
          </w:tcPr>
          <w:p>
            <w:pPr>
              <w:jc w:val="left"/>
            </w:pPr>
            <w:r/>
            <w:r>
              <w:rPr>
                <w:b w:val="0"/>
                <w:color w:val="1A1A1A"/>
                <w:sz w:val="18"/>
              </w:rPr>
              <w:t>ISO 22301:2019 Business Continuity Management Systems</w:t>
            </w:r>
          </w:p>
        </w:tc>
        <w:tc>
          <w:tcPr>
            <w:tcW w:type="dxa" w:w="4819"/>
          </w:tcPr>
          <w:p>
            <w:pPr>
              <w:jc w:val="left"/>
            </w:pPr>
            <w:r/>
            <w:r>
              <w:rPr>
                <w:b w:val="0"/>
                <w:color w:val="1A1A1A"/>
                <w:sz w:val="18"/>
              </w:rPr>
              <w:t>Governing standard — exercise aligned to Clause 8.5</w:t>
            </w:r>
          </w:p>
        </w:tc>
      </w:tr>
      <w:tr>
        <w:tc>
          <w:tcPr>
            <w:tcW w:type="dxa" w:w="4535"/>
            <w:shd w:val="clear" w:color="auto" w:fill="F0F2F4"/>
          </w:tcPr>
          <w:p>
            <w:pPr>
              <w:jc w:val="left"/>
            </w:pPr>
            <w:r/>
            <w:r>
              <w:rPr>
                <w:b w:val="0"/>
                <w:color w:val="1A1A1A"/>
                <w:sz w:val="18"/>
              </w:rPr>
              <w:t>BCI GPG 2018 PP6 — Validation</w:t>
            </w:r>
          </w:p>
        </w:tc>
        <w:tc>
          <w:tcPr>
            <w:tcW w:type="dxa" w:w="4819"/>
            <w:shd w:val="clear" w:color="auto" w:fill="F0F2F4"/>
          </w:tcPr>
          <w:p>
            <w:pPr>
              <w:jc w:val="left"/>
            </w:pPr>
            <w:r/>
            <w:r>
              <w:rPr>
                <w:b w:val="0"/>
                <w:color w:val="1A1A1A"/>
                <w:sz w:val="18"/>
              </w:rPr>
              <w:t>Exercise design and structure standard</w:t>
            </w:r>
          </w:p>
        </w:tc>
      </w:tr>
      <w:tr>
        <w:tc>
          <w:tcPr>
            <w:tcW w:type="dxa" w:w="4535"/>
          </w:tcPr>
          <w:p>
            <w:pPr>
              <w:jc w:val="left"/>
            </w:pPr>
            <w:r/>
            <w:r>
              <w:rPr>
                <w:b w:val="0"/>
                <w:color w:val="1A1A1A"/>
                <w:sz w:val="18"/>
              </w:rPr>
              <w:t>BCM Programme Policy</w:t>
            </w:r>
          </w:p>
        </w:tc>
        <w:tc>
          <w:tcPr>
            <w:tcW w:type="dxa" w:w="4819"/>
          </w:tcPr>
          <w:p>
            <w:pPr>
              <w:jc w:val="left"/>
            </w:pPr>
            <w:r/>
            <w:r>
              <w:rPr>
                <w:b w:val="0"/>
                <w:color w:val="1A1A1A"/>
                <w:sz w:val="18"/>
              </w:rPr>
              <w:t>Parent policy — authorises and governs the exercise programme</w:t>
            </w:r>
          </w:p>
        </w:tc>
      </w:tr>
    </w:tbl>
    <w:p>
      <w:pPr>
        <w:spacing w:after="80"/>
      </w:pPr>
    </w:p>
    <w:p>
      <w:pPr>
        <w:spacing w:before="240" w:after="80"/>
        <w:pBdr>
          <w:bottom w:val="single" w:sz="6" w:space="1" w:color="0D1B2A"/>
        </w:pBdr>
      </w:pPr>
    </w:p>
    <w:p>
      <w:pPr>
        <w:jc w:val="center"/>
      </w:pPr>
      <w:r>
        <w:rPr>
          <w:color w:val="6C757D"/>
          <w:sz w:val="16"/>
        </w:rPr>
        <w:t>DISTRIBUTION: Participants only  ·  Internal Use Only  ·  BC Studio  ·  13 June 2026</w:t>
      </w:r>
    </w:p>
    <w:sectPr w:rsidR="00FC693F" w:rsidRPr="0006063C" w:rsidSect="00034616">
      <w:headerReference w:type="default" r:id="rId9"/>
      <w:footerReference w:type="default" r:id="rId10"/>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C757D"/>
        <w:sz w:val="15"/>
      </w:rPr>
      <w:t>Internal Use Only  ·  BC Studio  ·  13 June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i/>
        <w:color w:val="6C757D"/>
        <w:sz w:val="16"/>
      </w:rPr>
      <w:t>Global Pandemic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